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atLeast"/>
        <w:jc w:val="center"/>
        <w:rPr>
          <w:rFonts w:ascii="方正小标宋简体" w:eastAsia="方正小标宋简体"/>
          <w:bCs/>
          <w:sz w:val="36"/>
          <w:szCs w:val="21"/>
        </w:rPr>
      </w:pPr>
      <w:r>
        <w:rPr>
          <w:rFonts w:hint="eastAsia" w:ascii="方正小标宋简体" w:eastAsia="方正小标宋简体"/>
          <w:bCs/>
          <w:sz w:val="36"/>
          <w:szCs w:val="21"/>
        </w:rPr>
        <w:t>202</w:t>
      </w:r>
      <w:r>
        <w:rPr>
          <w:rFonts w:ascii="方正小标宋简体" w:eastAsia="方正小标宋简体"/>
          <w:bCs/>
          <w:sz w:val="36"/>
          <w:szCs w:val="21"/>
        </w:rPr>
        <w:t>5</w:t>
      </w:r>
      <w:r>
        <w:rPr>
          <w:rFonts w:hint="eastAsia" w:ascii="方正小标宋简体" w:eastAsia="方正小标宋简体"/>
          <w:bCs/>
          <w:sz w:val="36"/>
          <w:szCs w:val="21"/>
        </w:rPr>
        <w:t>年度教育部奖提名公示信息——工程技术（应用创新类）奖</w:t>
      </w:r>
    </w:p>
    <w:tbl>
      <w:tblPr>
        <w:tblStyle w:val="9"/>
        <w:tblW w:w="13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5"/>
        <w:gridCol w:w="1448"/>
        <w:gridCol w:w="1687"/>
        <w:gridCol w:w="851"/>
        <w:gridCol w:w="1174"/>
        <w:gridCol w:w="842"/>
        <w:gridCol w:w="628"/>
        <w:gridCol w:w="1537"/>
        <w:gridCol w:w="278"/>
        <w:gridCol w:w="1538"/>
        <w:gridCol w:w="1325"/>
        <w:gridCol w:w="1483"/>
      </w:tblGrid>
      <w:tr>
        <w:trPr>
          <w:trHeight w:val="476" w:hRule="atLeast"/>
          <w:jc w:val="center"/>
        </w:trPr>
        <w:tc>
          <w:tcPr>
            <w:tcW w:w="2263" w:type="dxa"/>
            <w:gridSpan w:val="2"/>
            <w:vAlign w:val="center"/>
          </w:tcPr>
          <w:p>
            <w:pPr>
              <w:spacing w:line="360" w:lineRule="exact"/>
              <w:jc w:val="center"/>
              <w:rPr>
                <w:rFonts w:ascii="黑体" w:hAnsi="黑体" w:eastAsia="黑体" w:cs="黑体"/>
                <w:sz w:val="22"/>
              </w:rPr>
            </w:pPr>
            <w:r>
              <w:rPr>
                <w:rFonts w:hint="eastAsia" w:ascii="黑体" w:hAnsi="黑体" w:eastAsia="黑体" w:cs="黑体"/>
                <w:sz w:val="22"/>
              </w:rPr>
              <w:t>项目名称</w:t>
            </w:r>
          </w:p>
        </w:tc>
        <w:tc>
          <w:tcPr>
            <w:tcW w:w="11343" w:type="dxa"/>
            <w:gridSpan w:val="10"/>
            <w:vAlign w:val="center"/>
          </w:tcPr>
          <w:p>
            <w:pPr>
              <w:autoSpaceDE w:val="0"/>
              <w:autoSpaceDN w:val="0"/>
              <w:adjustRightInd w:val="0"/>
              <w:spacing w:line="400" w:lineRule="exact"/>
              <w:ind w:firstLine="480" w:firstLineChars="200"/>
              <w:rPr>
                <w:rFonts w:hint="default" w:ascii="黑体" w:hAnsi="黑体" w:eastAsia="黑体" w:cs="黑体"/>
                <w:sz w:val="24"/>
                <w:szCs w:val="24"/>
                <w:lang w:val="en-US"/>
              </w:rPr>
            </w:pPr>
            <w:r>
              <w:rPr>
                <w:rFonts w:hint="eastAsia"/>
                <w:sz w:val="24"/>
                <w:szCs w:val="24"/>
                <w:lang w:val="en-US" w:eastAsia="zh-CN"/>
              </w:rPr>
              <w:t>甲状腺功能减退致心肌损伤机制研究及防治策略的推广应用</w:t>
            </w:r>
          </w:p>
        </w:tc>
      </w:tr>
      <w:tr>
        <w:trPr>
          <w:trHeight w:val="476" w:hRule="atLeast"/>
          <w:jc w:val="center"/>
        </w:trPr>
        <w:tc>
          <w:tcPr>
            <w:tcW w:w="2263" w:type="dxa"/>
            <w:gridSpan w:val="2"/>
            <w:vAlign w:val="center"/>
          </w:tcPr>
          <w:p>
            <w:pPr>
              <w:spacing w:line="360" w:lineRule="exact"/>
              <w:jc w:val="center"/>
              <w:rPr>
                <w:rFonts w:ascii="黑体" w:hAnsi="黑体" w:eastAsia="黑体" w:cs="黑体"/>
                <w:sz w:val="22"/>
              </w:rPr>
            </w:pPr>
            <w:r>
              <w:rPr>
                <w:rFonts w:hint="eastAsia" w:ascii="黑体" w:hAnsi="黑体" w:eastAsia="黑体"/>
                <w:sz w:val="22"/>
                <w:szCs w:val="20"/>
              </w:rPr>
              <w:t>提名单位（提名专家）</w:t>
            </w:r>
          </w:p>
        </w:tc>
        <w:tc>
          <w:tcPr>
            <w:tcW w:w="4554" w:type="dxa"/>
            <w:gridSpan w:val="4"/>
            <w:vAlign w:val="center"/>
          </w:tcPr>
          <w:p>
            <w:pPr>
              <w:spacing w:line="400" w:lineRule="exact"/>
              <w:jc w:val="center"/>
              <w:rPr>
                <w:rFonts w:hint="default" w:eastAsia="仿宋_GB2312"/>
                <w:sz w:val="24"/>
                <w:szCs w:val="24"/>
                <w:lang w:val="en-US" w:eastAsia="zh-CN"/>
              </w:rPr>
            </w:pPr>
            <w:r>
              <w:rPr>
                <w:rFonts w:hint="eastAsia"/>
                <w:sz w:val="24"/>
                <w:szCs w:val="24"/>
                <w:lang w:val="en-US" w:eastAsia="zh-CN"/>
              </w:rPr>
              <w:t>北京大学</w:t>
            </w:r>
          </w:p>
        </w:tc>
        <w:tc>
          <w:tcPr>
            <w:tcW w:w="2165" w:type="dxa"/>
            <w:gridSpan w:val="2"/>
            <w:vAlign w:val="center"/>
          </w:tcPr>
          <w:p>
            <w:pPr>
              <w:spacing w:line="400" w:lineRule="exact"/>
              <w:jc w:val="center"/>
              <w:rPr>
                <w:sz w:val="24"/>
                <w:szCs w:val="24"/>
              </w:rPr>
            </w:pPr>
            <w:r>
              <w:rPr>
                <w:rFonts w:hint="eastAsia" w:ascii="黑体" w:hAnsi="黑体" w:eastAsia="黑体" w:cs="黑体"/>
                <w:sz w:val="22"/>
              </w:rPr>
              <w:t>提名等级</w:t>
            </w:r>
          </w:p>
        </w:tc>
        <w:tc>
          <w:tcPr>
            <w:tcW w:w="4624" w:type="dxa"/>
            <w:gridSpan w:val="4"/>
            <w:vAlign w:val="center"/>
          </w:tcPr>
          <w:p>
            <w:pPr>
              <w:spacing w:line="400" w:lineRule="exact"/>
              <w:jc w:val="center"/>
              <w:rPr>
                <w:rFonts w:hint="eastAsia" w:eastAsia="仿宋_GB2312"/>
                <w:sz w:val="24"/>
                <w:szCs w:val="24"/>
                <w:lang w:val="en-US" w:eastAsia="zh-CN"/>
              </w:rPr>
            </w:pPr>
            <w:r>
              <w:rPr>
                <w:rFonts w:hint="eastAsia"/>
                <w:sz w:val="24"/>
                <w:szCs w:val="24"/>
                <w:lang w:val="en-US" w:eastAsia="zh-CN"/>
              </w:rPr>
              <w:t>一等奖</w:t>
            </w:r>
          </w:p>
        </w:tc>
      </w:tr>
      <w:tr>
        <w:trPr>
          <w:trHeight w:val="476" w:hRule="atLeast"/>
          <w:jc w:val="center"/>
        </w:trPr>
        <w:tc>
          <w:tcPr>
            <w:tcW w:w="2263" w:type="dxa"/>
            <w:gridSpan w:val="2"/>
            <w:vAlign w:val="center"/>
          </w:tcPr>
          <w:p>
            <w:pPr>
              <w:spacing w:line="280" w:lineRule="exact"/>
              <w:jc w:val="center"/>
              <w:rPr>
                <w:rFonts w:ascii="黑体" w:hAnsi="黑体" w:eastAsia="黑体" w:cs="黑体"/>
                <w:sz w:val="22"/>
              </w:rPr>
            </w:pPr>
            <w:r>
              <w:rPr>
                <w:rFonts w:hint="eastAsia" w:ascii="黑体" w:hAnsi="黑体" w:eastAsia="黑体" w:cs="黑体"/>
                <w:sz w:val="22"/>
              </w:rPr>
              <w:t>主要完成人情况</w:t>
            </w:r>
          </w:p>
        </w:tc>
        <w:tc>
          <w:tcPr>
            <w:tcW w:w="11343" w:type="dxa"/>
            <w:gridSpan w:val="10"/>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（包括：排名、姓名、技术职称、工作单位、完成单位、对本项目主要技术发明的贡献）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2214"/>
              <w:gridCol w:w="2214"/>
              <w:gridCol w:w="2215"/>
              <w:gridCol w:w="2218"/>
            </w:tblGrid>
            <w:tr>
              <w:tc>
                <w:tcPr>
                  <w:tcW w:w="2213"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1</w:t>
                  </w:r>
                </w:p>
              </w:tc>
              <w:tc>
                <w:tcPr>
                  <w:tcW w:w="2214"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唐熠达</w:t>
                  </w:r>
                </w:p>
              </w:tc>
              <w:tc>
                <w:tcPr>
                  <w:tcW w:w="2214"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北京大学第三医院</w:t>
                  </w:r>
                </w:p>
              </w:tc>
              <w:tc>
                <w:tcPr>
                  <w:tcW w:w="2218" w:type="dxa"/>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w:t>
                  </w:r>
                </w:p>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中国医学科学院阜外医院</w:t>
                  </w:r>
                </w:p>
              </w:tc>
            </w:tr>
            <w:tr>
              <w:tc>
                <w:tcPr>
                  <w:tcW w:w="11074" w:type="dxa"/>
                  <w:gridSpan w:val="5"/>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项目主要完成人，负责整个项目的设计、实施、转化应用。长期工作在医教研一线，以代谢性心血管疾病为研究方向，通过临床-基础双重研究方法，发现甲状腺功能减退是心血管疾病的重大危险因素，系统阐明甲状腺功能减退导致心肌损伤的直接机制和通过影响血管功能、肝脏代谢、免疫炎症损伤心肌的间接机制。</w:t>
                  </w:r>
                  <w:r>
                    <w:rPr>
                      <w:rFonts w:hint="default" w:cs="Times New Roman"/>
                      <w:color w:val="000000"/>
                      <w:spacing w:val="2"/>
                      <w:sz w:val="21"/>
                      <w:szCs w:val="21"/>
                      <w:vertAlign w:val="baseline"/>
                      <w:lang w:val="en-US" w:eastAsia="zh-CN" w:bidi="ar"/>
                    </w:rPr>
                    <w:t>同时开展了大规模随机对照临床试验以优化治疗</w:t>
                  </w:r>
                  <w:r>
                    <w:rPr>
                      <w:rFonts w:hint="eastAsia" w:cs="Times New Roman"/>
                      <w:color w:val="000000"/>
                      <w:spacing w:val="2"/>
                      <w:sz w:val="21"/>
                      <w:szCs w:val="21"/>
                      <w:vertAlign w:val="baseline"/>
                      <w:lang w:val="en-US" w:eastAsia="zh-CN" w:bidi="ar"/>
                    </w:rPr>
                    <w:t>策略。</w:t>
                  </w:r>
                  <w:r>
                    <w:rPr>
                      <w:rFonts w:hint="default" w:cs="Times New Roman"/>
                      <w:color w:val="000000"/>
                      <w:spacing w:val="2"/>
                      <w:sz w:val="21"/>
                      <w:szCs w:val="21"/>
                      <w:vertAlign w:val="baseline"/>
                      <w:lang w:val="en-US" w:eastAsia="zh-CN" w:bidi="ar"/>
                    </w:rPr>
                    <w:t>研究成果在该领域处于国际领先地位，牵头及参与多项国内、国际诊疗规范的撰写。完成</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主要知识产权和标准规范等目录</w:t>
                  </w:r>
                  <w:r>
                    <w:rPr>
                      <w:rFonts w:hint="eastAsia" w:cs="Times New Roman"/>
                      <w:color w:val="000000"/>
                      <w:spacing w:val="2"/>
                      <w:sz w:val="21"/>
                      <w:szCs w:val="21"/>
                      <w:vertAlign w:val="baseline"/>
                      <w:lang w:val="en-US" w:eastAsia="zh-CN" w:bidi="ar"/>
                    </w:rPr>
                    <w:t>”1、2、3、4、5、6、7、9、10</w:t>
                  </w:r>
                  <w:r>
                    <w:rPr>
                      <w:rFonts w:hint="default" w:cs="Times New Roman"/>
                      <w:color w:val="000000"/>
                      <w:spacing w:val="2"/>
                      <w:sz w:val="21"/>
                      <w:szCs w:val="21"/>
                      <w:vertAlign w:val="baseline"/>
                      <w:lang w:val="en-US" w:eastAsia="zh-CN" w:bidi="ar"/>
                    </w:rPr>
                    <w:t>，对应“</w:t>
                  </w:r>
                  <w:r>
                    <w:rPr>
                      <w:rFonts w:hint="eastAsia" w:cs="Times New Roman"/>
                      <w:color w:val="000000"/>
                      <w:spacing w:val="2"/>
                      <w:sz w:val="21"/>
                      <w:szCs w:val="21"/>
                      <w:vertAlign w:val="baseline"/>
                      <w:lang w:val="en-US" w:eastAsia="zh-CN" w:bidi="ar"/>
                    </w:rPr>
                    <w:t>重要科学发现</w:t>
                  </w:r>
                  <w:r>
                    <w:rPr>
                      <w:rFonts w:hint="default" w:cs="Times New Roman"/>
                      <w:color w:val="000000"/>
                      <w:spacing w:val="2"/>
                      <w:sz w:val="21"/>
                      <w:szCs w:val="21"/>
                      <w:vertAlign w:val="baseline"/>
                      <w:lang w:val="en-US" w:eastAsia="zh-CN" w:bidi="ar"/>
                    </w:rPr>
                    <w:t>”所列</w:t>
                  </w:r>
                  <w:r>
                    <w:rPr>
                      <w:rFonts w:hint="eastAsia" w:cs="Times New Roman"/>
                      <w:color w:val="000000"/>
                      <w:spacing w:val="2"/>
                      <w:sz w:val="21"/>
                      <w:szCs w:val="21"/>
                      <w:vertAlign w:val="baseline"/>
                      <w:lang w:val="en-US" w:eastAsia="zh-CN" w:bidi="ar"/>
                    </w:rPr>
                    <w:t>科学发现</w:t>
                  </w:r>
                  <w:r>
                    <w:rPr>
                      <w:rFonts w:hint="default" w:cs="Times New Roman"/>
                      <w:color w:val="000000"/>
                      <w:spacing w:val="2"/>
                      <w:sz w:val="21"/>
                      <w:szCs w:val="21"/>
                      <w:vertAlign w:val="baseline"/>
                      <w:lang w:val="en-US" w:eastAsia="zh-CN" w:bidi="ar"/>
                    </w:rPr>
                    <w:t>一、二、三。</w:t>
                  </w:r>
                </w:p>
              </w:tc>
            </w:tr>
            <w:t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2</w:t>
                  </w:r>
                </w:p>
              </w:tc>
              <w:tc>
                <w:tcPr>
                  <w:tcW w:w="2214" w:type="dxa"/>
                </w:tcPr>
                <w:p>
                  <w:pPr>
                    <w:spacing w:line="240" w:lineRule="exact"/>
                    <w:jc w:val="center"/>
                    <w:rPr>
                      <w:rFonts w:hint="default"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赵家军</w:t>
                  </w:r>
                </w:p>
              </w:tc>
              <w:tc>
                <w:tcPr>
                  <w:tcW w:w="2214" w:type="dxa"/>
                </w:tcPr>
                <w:p>
                  <w:pPr>
                    <w:spacing w:line="240" w:lineRule="exact"/>
                    <w:jc w:val="center"/>
                    <w:rPr>
                      <w:rFonts w:hint="eastAsia" w:eastAsia="仿宋_GB2312"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tcPr>
                <w:p>
                  <w:pPr>
                    <w:spacing w:line="240" w:lineRule="exact"/>
                    <w:jc w:val="center"/>
                    <w:rPr>
                      <w:rFonts w:hint="eastAsia" w:cs="Times New Roman"/>
                      <w:color w:val="000000"/>
                      <w:spacing w:val="2"/>
                      <w:sz w:val="21"/>
                      <w:szCs w:val="21"/>
                      <w:vertAlign w:val="baseline"/>
                      <w:lang w:bidi="ar"/>
                    </w:rPr>
                  </w:pPr>
                  <w:r>
                    <w:rPr>
                      <w:rFonts w:hint="eastAsia"/>
                      <w:sz w:val="21"/>
                      <w:szCs w:val="21"/>
                      <w:lang w:val="en-US" w:eastAsia="zh-CN"/>
                    </w:rPr>
                    <w:t>山东第一医科大学附属医院</w:t>
                  </w:r>
                </w:p>
              </w:tc>
              <w:tc>
                <w:tcPr>
                  <w:tcW w:w="2218" w:type="dxa"/>
                </w:tcPr>
                <w:p>
                  <w:pPr>
                    <w:spacing w:line="240" w:lineRule="exact"/>
                    <w:jc w:val="center"/>
                    <w:rPr>
                      <w:rFonts w:hint="eastAsia" w:cs="Times New Roman"/>
                      <w:color w:val="000000"/>
                      <w:spacing w:val="2"/>
                      <w:sz w:val="21"/>
                      <w:szCs w:val="21"/>
                      <w:vertAlign w:val="baseline"/>
                      <w:lang w:bidi="ar"/>
                    </w:rPr>
                  </w:pPr>
                  <w:r>
                    <w:rPr>
                      <w:rFonts w:hint="eastAsia"/>
                      <w:sz w:val="21"/>
                      <w:szCs w:val="21"/>
                      <w:lang w:val="en-US" w:eastAsia="zh-CN"/>
                    </w:rPr>
                    <w:t>山东第一医科大学附属医院</w:t>
                  </w:r>
                </w:p>
              </w:tc>
            </w:tr>
            <w:tr>
              <w:tc>
                <w:tcPr>
                  <w:tcW w:w="11074" w:type="dxa"/>
                  <w:gridSpan w:val="5"/>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完成人</w:t>
                  </w:r>
                  <w:r>
                    <w:rPr>
                      <w:rFonts w:hint="default" w:cs="Times New Roman"/>
                      <w:color w:val="000000"/>
                      <w:spacing w:val="2"/>
                      <w:sz w:val="21"/>
                      <w:szCs w:val="21"/>
                      <w:vertAlign w:val="baseline"/>
                      <w:lang w:val="en-US" w:eastAsia="zh-CN" w:bidi="ar"/>
                    </w:rPr>
                    <w:t>深度参与本项目，突破传统“甲状腺素中心论”的局限</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进一步深入探索</w:t>
                  </w:r>
                  <w:r>
                    <w:rPr>
                      <w:rFonts w:hint="eastAsia" w:cs="Times New Roman"/>
                      <w:color w:val="000000"/>
                      <w:spacing w:val="2"/>
                      <w:sz w:val="21"/>
                      <w:szCs w:val="21"/>
                      <w:vertAlign w:val="baseline"/>
                      <w:lang w:val="en-US" w:eastAsia="zh-CN" w:bidi="ar"/>
                    </w:rPr>
                    <w:t>促甲状腺素致动脉粥样硬化的</w:t>
                  </w:r>
                  <w:r>
                    <w:rPr>
                      <w:rFonts w:hint="default" w:cs="Times New Roman"/>
                      <w:color w:val="000000"/>
                      <w:spacing w:val="2"/>
                      <w:sz w:val="21"/>
                      <w:szCs w:val="21"/>
                      <w:vertAlign w:val="baseline"/>
                      <w:lang w:val="en-US" w:eastAsia="zh-CN" w:bidi="ar"/>
                    </w:rPr>
                    <w:t>相关分子机制</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明确了</w:t>
                  </w:r>
                  <w:r>
                    <w:rPr>
                      <w:rFonts w:hint="eastAsia" w:cs="Times New Roman"/>
                      <w:color w:val="000000"/>
                      <w:spacing w:val="2"/>
                      <w:sz w:val="21"/>
                      <w:szCs w:val="21"/>
                      <w:vertAlign w:val="baseline"/>
                      <w:lang w:val="en-US" w:eastAsia="zh-CN" w:bidi="ar"/>
                    </w:rPr>
                    <w:t>促甲状腺激素可独立于T3/T4水平，激活炎症通路促发动脉粥样硬化。</w:t>
                  </w:r>
                  <w:r>
                    <w:rPr>
                      <w:rFonts w:hint="default" w:cs="Times New Roman"/>
                      <w:color w:val="000000"/>
                      <w:spacing w:val="2"/>
                      <w:sz w:val="21"/>
                      <w:szCs w:val="21"/>
                      <w:vertAlign w:val="baseline"/>
                      <w:lang w:val="en-US" w:eastAsia="zh-CN" w:bidi="ar"/>
                    </w:rPr>
                    <w:t>填补了TSH独立促动脉粥样硬化的理论空白，还为靶向TSHR-cAMP/PKA轴干预动脉粥样硬化提供了全新科学依据，推动了甲状腺-心血管共病研究领域的范式革新</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完成</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主要知识产权和标准规范等目录</w:t>
                  </w:r>
                  <w:r>
                    <w:rPr>
                      <w:rFonts w:hint="eastAsia" w:cs="Times New Roman"/>
                      <w:color w:val="000000"/>
                      <w:spacing w:val="2"/>
                      <w:sz w:val="21"/>
                      <w:szCs w:val="21"/>
                      <w:vertAlign w:val="baseline"/>
                      <w:lang w:val="en-US" w:eastAsia="zh-CN" w:bidi="ar"/>
                    </w:rPr>
                    <w:t>”8</w:t>
                  </w:r>
                  <w:r>
                    <w:rPr>
                      <w:rFonts w:hint="default" w:cs="Times New Roman"/>
                      <w:color w:val="000000"/>
                      <w:spacing w:val="2"/>
                      <w:sz w:val="21"/>
                      <w:szCs w:val="21"/>
                      <w:vertAlign w:val="baseline"/>
                      <w:lang w:val="en-US" w:eastAsia="zh-CN" w:bidi="ar"/>
                    </w:rPr>
                    <w:t>，对应“</w:t>
                  </w:r>
                  <w:r>
                    <w:rPr>
                      <w:rFonts w:hint="eastAsia" w:cs="Times New Roman"/>
                      <w:color w:val="000000"/>
                      <w:spacing w:val="2"/>
                      <w:sz w:val="21"/>
                      <w:szCs w:val="21"/>
                      <w:vertAlign w:val="baseline"/>
                      <w:lang w:val="en-US" w:eastAsia="zh-CN" w:bidi="ar"/>
                    </w:rPr>
                    <w:t>重要科学发现</w:t>
                  </w:r>
                  <w:r>
                    <w:rPr>
                      <w:rFonts w:hint="default" w:cs="Times New Roman"/>
                      <w:color w:val="000000"/>
                      <w:spacing w:val="2"/>
                      <w:sz w:val="21"/>
                      <w:szCs w:val="21"/>
                      <w:vertAlign w:val="baseline"/>
                      <w:lang w:val="en-US" w:eastAsia="zh-CN" w:bidi="ar"/>
                    </w:rPr>
                    <w:t>”所列</w:t>
                  </w:r>
                  <w:r>
                    <w:rPr>
                      <w:rFonts w:hint="eastAsia" w:cs="Times New Roman"/>
                      <w:color w:val="000000"/>
                      <w:spacing w:val="2"/>
                      <w:sz w:val="21"/>
                      <w:szCs w:val="21"/>
                      <w:vertAlign w:val="baseline"/>
                      <w:lang w:val="en-US" w:eastAsia="zh-CN" w:bidi="ar"/>
                    </w:rPr>
                    <w:t>科学发现二</w:t>
                  </w:r>
                  <w:r>
                    <w:rPr>
                      <w:rFonts w:hint="default" w:cs="Times New Roman"/>
                      <w:color w:val="000000"/>
                      <w:spacing w:val="2"/>
                      <w:sz w:val="21"/>
                      <w:szCs w:val="21"/>
                      <w:vertAlign w:val="baseline"/>
                      <w:lang w:val="en-US" w:eastAsia="zh-CN" w:bidi="ar"/>
                    </w:rPr>
                    <w:t>。</w:t>
                  </w:r>
                </w:p>
              </w:tc>
            </w:tr>
            <w:t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kern w:val="2"/>
                      <w:sz w:val="21"/>
                      <w:szCs w:val="21"/>
                      <w:vertAlign w:val="baseline"/>
                      <w:lang w:val="en-US" w:eastAsia="zh-CN" w:bidi="ar"/>
                    </w:rPr>
                    <w:t>3</w:t>
                  </w:r>
                </w:p>
              </w:tc>
              <w:tc>
                <w:tcPr>
                  <w:tcW w:w="2214"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王文尧</w:t>
                  </w:r>
                </w:p>
              </w:tc>
              <w:tc>
                <w:tcPr>
                  <w:tcW w:w="2214"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kern w:val="2"/>
                      <w:sz w:val="21"/>
                      <w:szCs w:val="21"/>
                      <w:vertAlign w:val="baseline"/>
                      <w:lang w:val="en-US" w:eastAsia="zh-CN" w:bidi="ar"/>
                    </w:rPr>
                    <w:t>副研究员</w:t>
                  </w:r>
                </w:p>
              </w:tc>
              <w:tc>
                <w:tcPr>
                  <w:tcW w:w="2215"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北京大学第三医院</w:t>
                  </w:r>
                </w:p>
              </w:tc>
              <w:tc>
                <w:tcPr>
                  <w:tcW w:w="2218" w:type="dxa"/>
                  <w:vAlign w:val="top"/>
                </w:tcPr>
                <w:p>
                  <w:pPr>
                    <w:spacing w:line="240" w:lineRule="exact"/>
                    <w:jc w:val="center"/>
                    <w:rPr>
                      <w:rFonts w:hint="eastAsia"/>
                      <w:sz w:val="21"/>
                      <w:szCs w:val="21"/>
                      <w:lang w:val="en-US" w:eastAsia="zh-CN"/>
                    </w:rPr>
                  </w:pPr>
                  <w:r>
                    <w:rPr>
                      <w:rFonts w:hint="eastAsia" w:cs="Times New Roman"/>
                      <w:color w:val="000000"/>
                      <w:spacing w:val="2"/>
                      <w:sz w:val="21"/>
                      <w:szCs w:val="21"/>
                      <w:vertAlign w:val="baseline"/>
                      <w:lang w:val="en-US" w:eastAsia="zh-CN" w:bidi="ar"/>
                    </w:rPr>
                    <w:t>北京大学</w:t>
                  </w:r>
                </w:p>
              </w:tc>
            </w:tr>
            <w:tr>
              <w:trPr>
                <w:trHeight w:val="90" w:hRule="atLeast"/>
              </w:trPr>
              <w:tc>
                <w:tcPr>
                  <w:tcW w:w="11074" w:type="dxa"/>
                  <w:gridSpan w:val="5"/>
                  <w:vAlign w:val="top"/>
                </w:tcPr>
                <w:p>
                  <w:pPr>
                    <w:spacing w:line="240" w:lineRule="exact"/>
                    <w:jc w:val="both"/>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深度参与本项目的执行，所承担的相关工作明确了甲状腺功能异常是心血管疾病发生、发展的独立危险因素，建立了指导临床实践的危险分层工具，并进一步深入探索相关分子机制和干预治疗方案。完成“</w:t>
                  </w:r>
                  <w:r>
                    <w:rPr>
                      <w:rFonts w:hint="default" w:cs="Times New Roman"/>
                      <w:color w:val="000000"/>
                      <w:spacing w:val="2"/>
                      <w:sz w:val="21"/>
                      <w:szCs w:val="21"/>
                      <w:vertAlign w:val="baseline"/>
                      <w:lang w:val="en-US" w:eastAsia="zh-CN" w:bidi="ar"/>
                    </w:rPr>
                    <w:t>主要知识产权和标准规范等目录</w:t>
                  </w:r>
                  <w:r>
                    <w:rPr>
                      <w:rFonts w:hint="eastAsia" w:cs="Times New Roman"/>
                      <w:color w:val="000000"/>
                      <w:spacing w:val="2"/>
                      <w:sz w:val="21"/>
                      <w:szCs w:val="21"/>
                      <w:vertAlign w:val="baseline"/>
                      <w:lang w:val="en-US" w:eastAsia="zh-CN" w:bidi="ar"/>
                    </w:rPr>
                    <w:t>”1、3、4、5、6、10，对应</w:t>
                  </w:r>
                  <w:r>
                    <w:rPr>
                      <w:rFonts w:hint="default" w:cs="Times New Roman"/>
                      <w:color w:val="000000"/>
                      <w:spacing w:val="2"/>
                      <w:sz w:val="21"/>
                      <w:szCs w:val="21"/>
                      <w:vertAlign w:val="baseline"/>
                      <w:lang w:val="en-US" w:eastAsia="zh-CN" w:bidi="ar"/>
                    </w:rPr>
                    <w:t>“</w:t>
                  </w:r>
                  <w:r>
                    <w:rPr>
                      <w:rFonts w:hint="eastAsia" w:cs="Times New Roman"/>
                      <w:color w:val="000000"/>
                      <w:spacing w:val="2"/>
                      <w:sz w:val="21"/>
                      <w:szCs w:val="21"/>
                      <w:vertAlign w:val="baseline"/>
                      <w:lang w:val="en-US" w:eastAsia="zh-CN" w:bidi="ar"/>
                    </w:rPr>
                    <w:t>重要科学发现</w:t>
                  </w:r>
                  <w:r>
                    <w:rPr>
                      <w:rFonts w:hint="default" w:cs="Times New Roman"/>
                      <w:color w:val="000000"/>
                      <w:spacing w:val="2"/>
                      <w:sz w:val="21"/>
                      <w:szCs w:val="21"/>
                      <w:vertAlign w:val="baseline"/>
                      <w:lang w:val="en-US" w:eastAsia="zh-CN" w:bidi="ar"/>
                    </w:rPr>
                    <w:t>”所列</w:t>
                  </w:r>
                  <w:r>
                    <w:rPr>
                      <w:rFonts w:hint="eastAsia" w:cs="Times New Roman"/>
                      <w:color w:val="000000"/>
                      <w:spacing w:val="2"/>
                      <w:sz w:val="21"/>
                      <w:szCs w:val="21"/>
                      <w:vertAlign w:val="baseline"/>
                      <w:lang w:val="en-US" w:eastAsia="zh-CN" w:bidi="ar"/>
                    </w:rPr>
                    <w:t>科学发现一、三。</w:t>
                  </w:r>
                </w:p>
              </w:tc>
            </w:tr>
            <w:t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4</w:t>
                  </w:r>
                </w:p>
              </w:tc>
              <w:tc>
                <w:tcPr>
                  <w:tcW w:w="2214"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kern w:val="2"/>
                      <w:sz w:val="21"/>
                      <w:szCs w:val="21"/>
                      <w:vertAlign w:val="baseline"/>
                      <w:lang w:val="en-US" w:eastAsia="zh-CN" w:bidi="ar"/>
                    </w:rPr>
                    <w:t>杨跃进</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中国医学科学院阜外医院</w:t>
                  </w:r>
                </w:p>
              </w:tc>
              <w:tc>
                <w:tcPr>
                  <w:tcW w:w="2218"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中国医学科学院阜外医院</w:t>
                  </w:r>
                </w:p>
              </w:tc>
            </w:tr>
            <w:tr>
              <w:trPr>
                <w:trHeight w:val="90" w:hRule="atLeast"/>
              </w:trPr>
              <w:tc>
                <w:tcPr>
                  <w:tcW w:w="11074" w:type="dxa"/>
                  <w:gridSpan w:val="5"/>
                  <w:vAlign w:val="top"/>
                </w:tcPr>
                <w:p>
                  <w:pPr>
                    <w:spacing w:line="240" w:lineRule="exact"/>
                    <w:jc w:val="both"/>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本项目重要完成人。围绕甲状腺功减退合并血脂代谢异常的干预治疗策略，设计实施随机双盲对照临床试验，在人群中验证纠正甲状腺功能对于血脂代谢异常临床干预措施的有效性和安全性，及对临床预后的影响。完成工作见附件，对应</w:t>
                  </w:r>
                  <w:r>
                    <w:rPr>
                      <w:rFonts w:hint="default" w:cs="Times New Roman"/>
                      <w:color w:val="000000"/>
                      <w:spacing w:val="2"/>
                      <w:sz w:val="21"/>
                      <w:szCs w:val="21"/>
                      <w:vertAlign w:val="baseline"/>
                      <w:lang w:val="en-US" w:eastAsia="zh-CN" w:bidi="ar"/>
                    </w:rPr>
                    <w:t>“</w:t>
                  </w:r>
                  <w:r>
                    <w:rPr>
                      <w:rFonts w:hint="eastAsia" w:cs="Times New Roman"/>
                      <w:color w:val="000000"/>
                      <w:spacing w:val="2"/>
                      <w:sz w:val="21"/>
                      <w:szCs w:val="21"/>
                      <w:vertAlign w:val="baseline"/>
                      <w:lang w:val="en-US" w:eastAsia="zh-CN" w:bidi="ar"/>
                    </w:rPr>
                    <w:t>重要科学发现</w:t>
                  </w:r>
                  <w:r>
                    <w:rPr>
                      <w:rFonts w:hint="default" w:cs="Times New Roman"/>
                      <w:color w:val="000000"/>
                      <w:spacing w:val="2"/>
                      <w:sz w:val="21"/>
                      <w:szCs w:val="21"/>
                      <w:vertAlign w:val="baseline"/>
                      <w:lang w:val="en-US" w:eastAsia="zh-CN" w:bidi="ar"/>
                    </w:rPr>
                    <w:t>”所列</w:t>
                  </w:r>
                  <w:r>
                    <w:rPr>
                      <w:rFonts w:hint="eastAsia" w:cs="Times New Roman"/>
                      <w:color w:val="000000"/>
                      <w:spacing w:val="2"/>
                      <w:sz w:val="21"/>
                      <w:szCs w:val="21"/>
                      <w:vertAlign w:val="baseline"/>
                      <w:lang w:val="en-US" w:eastAsia="zh-CN" w:bidi="ar"/>
                    </w:rPr>
                    <w:t>科学发现一、三。</w:t>
                  </w:r>
                </w:p>
              </w:tc>
            </w:tr>
            <w:t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vAlign w:val="top"/>
                </w:tcPr>
                <w:p>
                  <w:pPr>
                    <w:spacing w:line="240" w:lineRule="exact"/>
                    <w:jc w:val="center"/>
                    <w:rPr>
                      <w:rFonts w:hint="default" w:cs="Times New Roman"/>
                      <w:strike w:val="0"/>
                      <w:dstrike w:val="0"/>
                      <w:color w:val="000000"/>
                      <w:spacing w:val="2"/>
                      <w:sz w:val="21"/>
                      <w:szCs w:val="21"/>
                      <w:vertAlign w:val="baseline"/>
                      <w:lang w:val="en-US" w:eastAsia="zh-CN" w:bidi="ar"/>
                    </w:rPr>
                  </w:pPr>
                  <w:r>
                    <w:rPr>
                      <w:rFonts w:hint="eastAsia" w:cs="Times New Roman"/>
                      <w:strike w:val="0"/>
                      <w:dstrike w:val="0"/>
                      <w:color w:val="000000"/>
                      <w:spacing w:val="2"/>
                      <w:sz w:val="21"/>
                      <w:szCs w:val="21"/>
                      <w:vertAlign w:val="baseline"/>
                      <w:lang w:val="en-US" w:eastAsia="zh-CN" w:bidi="ar"/>
                    </w:rPr>
                    <w:t>5</w:t>
                  </w:r>
                </w:p>
              </w:tc>
              <w:tc>
                <w:tcPr>
                  <w:tcW w:w="2214" w:type="dxa"/>
                  <w:vAlign w:val="top"/>
                </w:tcPr>
                <w:p>
                  <w:pPr>
                    <w:spacing w:line="240" w:lineRule="exact"/>
                    <w:jc w:val="center"/>
                    <w:rPr>
                      <w:rFonts w:hint="default" w:ascii="Times New Roman" w:hAnsi="Times New Roman" w:eastAsia="仿宋_GB2312" w:cs="Times New Roman"/>
                      <w:strike w:val="0"/>
                      <w:dstrike w:val="0"/>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张阔</w:t>
                  </w:r>
                </w:p>
              </w:tc>
              <w:tc>
                <w:tcPr>
                  <w:tcW w:w="2214" w:type="dxa"/>
                  <w:vAlign w:val="top"/>
                </w:tcPr>
                <w:p>
                  <w:pPr>
                    <w:spacing w:line="240" w:lineRule="exact"/>
                    <w:jc w:val="center"/>
                    <w:rPr>
                      <w:rFonts w:hint="default" w:ascii="Times New Roman" w:hAnsi="Times New Roman" w:eastAsia="仿宋_GB2312" w:cs="Times New Roman"/>
                      <w:strike w:val="0"/>
                      <w:dstrike w:val="0"/>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主治医师</w:t>
                  </w:r>
                </w:p>
              </w:tc>
              <w:tc>
                <w:tcPr>
                  <w:tcW w:w="2215" w:type="dxa"/>
                  <w:vAlign w:val="top"/>
                </w:tcPr>
                <w:p>
                  <w:pPr>
                    <w:spacing w:line="240" w:lineRule="exact"/>
                    <w:jc w:val="center"/>
                    <w:rPr>
                      <w:rFonts w:hint="eastAsia" w:ascii="Times New Roman" w:hAnsi="Times New Roman" w:eastAsia="仿宋_GB2312" w:cs="Times New Roman"/>
                      <w:strike w:val="0"/>
                      <w:dstrike w:val="0"/>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中国医学科学院阜外医院</w:t>
                  </w:r>
                </w:p>
              </w:tc>
              <w:tc>
                <w:tcPr>
                  <w:tcW w:w="2218" w:type="dxa"/>
                  <w:vAlign w:val="top"/>
                </w:tcPr>
                <w:p>
                  <w:pPr>
                    <w:spacing w:line="240" w:lineRule="exact"/>
                    <w:jc w:val="center"/>
                    <w:rPr>
                      <w:rFonts w:hint="eastAsia" w:ascii="Times New Roman" w:hAnsi="Times New Roman" w:eastAsia="仿宋_GB2312" w:cstheme="minorBidi"/>
                      <w:strike w:val="0"/>
                      <w:dstrike w:val="0"/>
                      <w:kern w:val="2"/>
                      <w:sz w:val="21"/>
                      <w:szCs w:val="21"/>
                      <w:lang w:val="en-US" w:eastAsia="zh-CN" w:bidi="ar-SA"/>
                    </w:rPr>
                  </w:pPr>
                  <w:r>
                    <w:rPr>
                      <w:rFonts w:hint="eastAsia" w:cs="Times New Roman"/>
                      <w:color w:val="000000"/>
                      <w:spacing w:val="2"/>
                      <w:sz w:val="21"/>
                      <w:szCs w:val="21"/>
                      <w:vertAlign w:val="baseline"/>
                      <w:lang w:val="en-US" w:eastAsia="zh-CN" w:bidi="ar"/>
                    </w:rPr>
                    <w:t>中国医学科学院阜外医院</w:t>
                  </w:r>
                </w:p>
              </w:tc>
            </w:tr>
            <w:tr>
              <w:tc>
                <w:tcPr>
                  <w:tcW w:w="11074" w:type="dxa"/>
                  <w:gridSpan w:val="5"/>
                  <w:vAlign w:val="top"/>
                </w:tcPr>
                <w:p>
                  <w:pPr>
                    <w:spacing w:line="240" w:lineRule="exact"/>
                    <w:jc w:val="both"/>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strike w:val="0"/>
                      <w:dstrike w:val="0"/>
                      <w:color w:val="000000"/>
                      <w:spacing w:val="2"/>
                      <w:sz w:val="21"/>
                      <w:szCs w:val="21"/>
                      <w:vertAlign w:val="baseline"/>
                      <w:lang w:val="en-US" w:eastAsia="zh-CN" w:bidi="ar"/>
                    </w:rPr>
                  </w:pPr>
                  <w:r>
                    <w:rPr>
                      <w:rFonts w:hint="eastAsia" w:cs="Times New Roman"/>
                      <w:strike w:val="0"/>
                      <w:dstrike w:val="0"/>
                      <w:color w:val="000000"/>
                      <w:spacing w:val="2"/>
                      <w:sz w:val="21"/>
                      <w:szCs w:val="21"/>
                      <w:vertAlign w:val="baseline"/>
                      <w:lang w:val="en-US" w:eastAsia="zh-CN" w:bidi="ar"/>
                    </w:rPr>
                    <w:t>本项目重要参与人，突破传统单一器官研究范式，揭示了甲状腺功能减退与肝脏代谢紊乱（非酒精性脂肪肝）协同加剧心肌损伤的多器官交互机制。通过构建转基因动物模型，阐明甲状腺功能减退通过DUSP14，导致胰岛素抵抗、脂质合成异常及炎症反应，进而加速动脉粥样硬化进程，解析了甲状腺-肝脏代谢轴紊乱诱发心肌损伤的分子网络，为靶向多器官交互机制干预心血管疾病提供了全新理论依据和潜在治疗靶点。</w:t>
                  </w:r>
                  <w:r>
                    <w:rPr>
                      <w:rFonts w:hint="default" w:cs="Times New Roman"/>
                      <w:strike w:val="0"/>
                      <w:dstrike w:val="0"/>
                      <w:color w:val="000000"/>
                      <w:spacing w:val="2"/>
                      <w:sz w:val="21"/>
                      <w:szCs w:val="21"/>
                      <w:vertAlign w:val="baseline"/>
                      <w:lang w:val="en-US" w:eastAsia="zh-CN" w:bidi="ar"/>
                    </w:rPr>
                    <w:t>完成</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主要知识产权和标准规范等目录</w:t>
                  </w:r>
                  <w:r>
                    <w:rPr>
                      <w:rFonts w:hint="eastAsia" w:cs="Times New Roman"/>
                      <w:color w:val="000000"/>
                      <w:spacing w:val="2"/>
                      <w:sz w:val="21"/>
                      <w:szCs w:val="21"/>
                      <w:vertAlign w:val="baseline"/>
                      <w:lang w:val="en-US" w:eastAsia="zh-CN" w:bidi="ar"/>
                    </w:rPr>
                    <w:t>”9、10</w:t>
                  </w:r>
                  <w:r>
                    <w:rPr>
                      <w:rFonts w:hint="default" w:cs="Times New Roman"/>
                      <w:strike w:val="0"/>
                      <w:dstrike w:val="0"/>
                      <w:color w:val="000000"/>
                      <w:spacing w:val="2"/>
                      <w:sz w:val="21"/>
                      <w:szCs w:val="21"/>
                      <w:vertAlign w:val="baseline"/>
                      <w:lang w:val="en-US" w:eastAsia="zh-CN" w:bidi="ar"/>
                    </w:rPr>
                    <w:t>，对应“</w:t>
                  </w:r>
                  <w:r>
                    <w:rPr>
                      <w:rFonts w:hint="eastAsia" w:cs="Times New Roman"/>
                      <w:strike w:val="0"/>
                      <w:dstrike w:val="0"/>
                      <w:color w:val="000000"/>
                      <w:spacing w:val="2"/>
                      <w:sz w:val="21"/>
                      <w:szCs w:val="21"/>
                      <w:vertAlign w:val="baseline"/>
                      <w:lang w:val="en-US" w:eastAsia="zh-CN" w:bidi="ar"/>
                    </w:rPr>
                    <w:t>重要科学发现</w:t>
                  </w:r>
                  <w:r>
                    <w:rPr>
                      <w:rFonts w:hint="default" w:cs="Times New Roman"/>
                      <w:strike w:val="0"/>
                      <w:dstrike w:val="0"/>
                      <w:color w:val="000000"/>
                      <w:spacing w:val="2"/>
                      <w:sz w:val="21"/>
                      <w:szCs w:val="21"/>
                      <w:vertAlign w:val="baseline"/>
                      <w:lang w:val="en-US" w:eastAsia="zh-CN" w:bidi="ar"/>
                    </w:rPr>
                    <w:t>”所列</w:t>
                  </w:r>
                  <w:r>
                    <w:rPr>
                      <w:rFonts w:hint="eastAsia" w:cs="Times New Roman"/>
                      <w:strike w:val="0"/>
                      <w:dstrike w:val="0"/>
                      <w:color w:val="000000"/>
                      <w:spacing w:val="2"/>
                      <w:sz w:val="21"/>
                      <w:szCs w:val="21"/>
                      <w:vertAlign w:val="baseline"/>
                      <w:lang w:val="en-US" w:eastAsia="zh-CN" w:bidi="ar"/>
                    </w:rPr>
                    <w:t>科学发现二、三</w:t>
                  </w:r>
                  <w:r>
                    <w:rPr>
                      <w:rFonts w:hint="default" w:cs="Times New Roman"/>
                      <w:strike w:val="0"/>
                      <w:dstrike w:val="0"/>
                      <w:color w:val="000000"/>
                      <w:spacing w:val="2"/>
                      <w:sz w:val="21"/>
                      <w:szCs w:val="21"/>
                      <w:vertAlign w:val="baseline"/>
                      <w:lang w:val="en-US" w:eastAsia="zh-CN" w:bidi="ar"/>
                    </w:rPr>
                    <w:t>。</w:t>
                  </w:r>
                </w:p>
              </w:tc>
            </w:tr>
            <w:tr>
              <w:trPr>
                <w:trHeight w:val="90" w:hRule="atLeast"/>
              </w:trP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rPr>
                <w:trHeight w:val="90" w:hRule="atLeast"/>
              </w:trPr>
              <w:tc>
                <w:tcPr>
                  <w:tcW w:w="2213"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kern w:val="2"/>
                      <w:sz w:val="21"/>
                      <w:szCs w:val="21"/>
                      <w:vertAlign w:val="baseline"/>
                      <w:lang w:val="en-US" w:eastAsia="zh-CN" w:bidi="ar"/>
                    </w:rPr>
                    <w:t>6</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栗琳</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高级工程师</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北京豪思生物科技股份有限公司</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北京豪思生物科技股份有限公司</w:t>
                  </w:r>
                </w:p>
              </w:tc>
            </w:tr>
            <w:tr>
              <w:trPr>
                <w:trHeight w:val="90" w:hRule="atLeast"/>
              </w:trPr>
              <w:tc>
                <w:tcPr>
                  <w:tcW w:w="11074" w:type="dxa"/>
                  <w:gridSpan w:val="5"/>
                  <w:vAlign w:val="top"/>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为本项目合作完成单位“北京豪思生物科技股份有限公司”主要技术负责人，在知识产权转化以及技术应用和推广方面起到重要作用。通过对本项目重要成果专利的转化，实现了研究成果向实践应用的推广，产生了较大社会效益及经济效益。完成工作见附件，对应</w:t>
                  </w:r>
                  <w:r>
                    <w:rPr>
                      <w:rFonts w:hint="default" w:cs="Times New Roman"/>
                      <w:strike w:val="0"/>
                      <w:dstrike w:val="0"/>
                      <w:color w:val="000000"/>
                      <w:spacing w:val="2"/>
                      <w:sz w:val="21"/>
                      <w:szCs w:val="21"/>
                      <w:vertAlign w:val="baseline"/>
                      <w:lang w:val="en-US" w:eastAsia="zh-CN" w:bidi="ar"/>
                    </w:rPr>
                    <w:t>“</w:t>
                  </w:r>
                  <w:r>
                    <w:rPr>
                      <w:rFonts w:hint="eastAsia" w:cs="Times New Roman"/>
                      <w:strike w:val="0"/>
                      <w:dstrike w:val="0"/>
                      <w:color w:val="000000"/>
                      <w:spacing w:val="2"/>
                      <w:sz w:val="21"/>
                      <w:szCs w:val="21"/>
                      <w:vertAlign w:val="baseline"/>
                      <w:lang w:val="en-US" w:eastAsia="zh-CN" w:bidi="ar"/>
                    </w:rPr>
                    <w:t>重要科学发现</w:t>
                  </w:r>
                  <w:r>
                    <w:rPr>
                      <w:rFonts w:hint="default" w:cs="Times New Roman"/>
                      <w:strike w:val="0"/>
                      <w:dstrike w:val="0"/>
                      <w:color w:val="000000"/>
                      <w:spacing w:val="2"/>
                      <w:sz w:val="21"/>
                      <w:szCs w:val="21"/>
                      <w:vertAlign w:val="baseline"/>
                      <w:lang w:val="en-US" w:eastAsia="zh-CN" w:bidi="ar"/>
                    </w:rPr>
                    <w:t>”所列</w:t>
                  </w:r>
                  <w:r>
                    <w:rPr>
                      <w:rFonts w:hint="eastAsia" w:cs="Times New Roman"/>
                      <w:strike w:val="0"/>
                      <w:dstrike w:val="0"/>
                      <w:color w:val="000000"/>
                      <w:spacing w:val="2"/>
                      <w:sz w:val="21"/>
                      <w:szCs w:val="21"/>
                      <w:vertAlign w:val="baseline"/>
                      <w:lang w:val="en-US" w:eastAsia="zh-CN" w:bidi="ar"/>
                    </w:rPr>
                    <w:t>科学发现</w:t>
                  </w:r>
                  <w:r>
                    <w:rPr>
                      <w:rFonts w:hint="eastAsia" w:cs="Times New Roman"/>
                      <w:color w:val="000000"/>
                      <w:spacing w:val="2"/>
                      <w:sz w:val="21"/>
                      <w:szCs w:val="21"/>
                      <w:vertAlign w:val="baseline"/>
                      <w:lang w:val="en-US" w:eastAsia="zh-CN" w:bidi="ar"/>
                    </w:rPr>
                    <w:t>三。</w:t>
                  </w:r>
                </w:p>
              </w:tc>
            </w:tr>
            <w:tr>
              <w:trPr>
                <w:trHeight w:val="90" w:hRule="atLeast"/>
              </w:trP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rPr>
                <w:trHeight w:val="90" w:hRule="atLeast"/>
              </w:trPr>
              <w:tc>
                <w:tcPr>
                  <w:tcW w:w="2213"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7</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邵春丽</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北京大学第三医院</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w:t>
                  </w:r>
                </w:p>
              </w:tc>
            </w:tr>
            <w:tr>
              <w:trPr>
                <w:trHeight w:val="90" w:hRule="atLeast"/>
              </w:trPr>
              <w:tc>
                <w:tcPr>
                  <w:tcW w:w="11074" w:type="dxa"/>
                  <w:gridSpan w:val="5"/>
                  <w:vAlign w:val="top"/>
                </w:tcPr>
                <w:p>
                  <w:pPr>
                    <w:spacing w:line="240" w:lineRule="exact"/>
                    <w:jc w:val="both"/>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参与建立甲状腺-心血管疾病队列，参与“ThyroHeart”系列临床试验。研究成果揭示了甲状腺功能减退显著影响急性心肌梗死和心力衰竭的预后，甲状腺激素水平异常与早期动脉粥样硬化指标 PWV和 ABI 显著相关。</w:t>
                  </w:r>
                  <w:r>
                    <w:rPr>
                      <w:rFonts w:hint="default" w:cs="Times New Roman"/>
                      <w:strike w:val="0"/>
                      <w:dstrike w:val="0"/>
                      <w:color w:val="000000"/>
                      <w:spacing w:val="2"/>
                      <w:sz w:val="21"/>
                      <w:szCs w:val="21"/>
                      <w:vertAlign w:val="baseline"/>
                      <w:lang w:val="en-US" w:eastAsia="zh-CN" w:bidi="ar"/>
                    </w:rPr>
                    <w:t>完成</w:t>
                  </w:r>
                  <w:r>
                    <w:rPr>
                      <w:rFonts w:hint="eastAsia" w:cs="Times New Roman"/>
                      <w:color w:val="000000"/>
                      <w:spacing w:val="2"/>
                      <w:sz w:val="21"/>
                      <w:szCs w:val="21"/>
                      <w:vertAlign w:val="baseline"/>
                      <w:lang w:val="en-US" w:eastAsia="zh-CN" w:bidi="ar"/>
                    </w:rPr>
                    <w:t>“</w:t>
                  </w:r>
                  <w:r>
                    <w:rPr>
                      <w:rFonts w:hint="default" w:cs="Times New Roman"/>
                      <w:color w:val="000000"/>
                      <w:spacing w:val="2"/>
                      <w:sz w:val="21"/>
                      <w:szCs w:val="21"/>
                      <w:vertAlign w:val="baseline"/>
                      <w:lang w:val="en-US" w:eastAsia="zh-CN" w:bidi="ar"/>
                    </w:rPr>
                    <w:t>主要知识产权和标准规范等目录</w:t>
                  </w:r>
                  <w:r>
                    <w:rPr>
                      <w:rFonts w:hint="eastAsia" w:cs="Times New Roman"/>
                      <w:color w:val="000000"/>
                      <w:spacing w:val="2"/>
                      <w:sz w:val="21"/>
                      <w:szCs w:val="21"/>
                      <w:vertAlign w:val="baseline"/>
                      <w:lang w:val="en-US" w:eastAsia="zh-CN" w:bidi="ar"/>
                    </w:rPr>
                    <w:t>”3、4、5、10</w:t>
                  </w:r>
                  <w:r>
                    <w:rPr>
                      <w:rFonts w:hint="default" w:cs="Times New Roman"/>
                      <w:strike w:val="0"/>
                      <w:dstrike w:val="0"/>
                      <w:color w:val="000000"/>
                      <w:spacing w:val="2"/>
                      <w:sz w:val="21"/>
                      <w:szCs w:val="21"/>
                      <w:vertAlign w:val="baseline"/>
                      <w:lang w:val="en-US" w:eastAsia="zh-CN" w:bidi="ar"/>
                    </w:rPr>
                    <w:t>，对应“</w:t>
                  </w:r>
                  <w:r>
                    <w:rPr>
                      <w:rFonts w:hint="eastAsia" w:cs="Times New Roman"/>
                      <w:strike w:val="0"/>
                      <w:dstrike w:val="0"/>
                      <w:color w:val="000000"/>
                      <w:spacing w:val="2"/>
                      <w:sz w:val="21"/>
                      <w:szCs w:val="21"/>
                      <w:vertAlign w:val="baseline"/>
                      <w:lang w:val="en-US" w:eastAsia="zh-CN" w:bidi="ar"/>
                    </w:rPr>
                    <w:t>重要科学发现</w:t>
                  </w:r>
                  <w:r>
                    <w:rPr>
                      <w:rFonts w:hint="default" w:cs="Times New Roman"/>
                      <w:strike w:val="0"/>
                      <w:dstrike w:val="0"/>
                      <w:color w:val="000000"/>
                      <w:spacing w:val="2"/>
                      <w:sz w:val="21"/>
                      <w:szCs w:val="21"/>
                      <w:vertAlign w:val="baseline"/>
                      <w:lang w:val="en-US" w:eastAsia="zh-CN" w:bidi="ar"/>
                    </w:rPr>
                    <w:t>”所列</w:t>
                  </w:r>
                  <w:r>
                    <w:rPr>
                      <w:rFonts w:hint="eastAsia" w:cs="Times New Roman"/>
                      <w:strike w:val="0"/>
                      <w:dstrike w:val="0"/>
                      <w:color w:val="000000"/>
                      <w:spacing w:val="2"/>
                      <w:sz w:val="21"/>
                      <w:szCs w:val="21"/>
                      <w:vertAlign w:val="baseline"/>
                      <w:lang w:val="en-US" w:eastAsia="zh-CN" w:bidi="ar"/>
                    </w:rPr>
                    <w:t>科学发现二、三</w:t>
                  </w:r>
                  <w:r>
                    <w:rPr>
                      <w:rFonts w:hint="default" w:cs="Times New Roman"/>
                      <w:strike w:val="0"/>
                      <w:dstrike w:val="0"/>
                      <w:color w:val="000000"/>
                      <w:spacing w:val="2"/>
                      <w:sz w:val="21"/>
                      <w:szCs w:val="21"/>
                      <w:vertAlign w:val="baseline"/>
                      <w:lang w:val="en-US" w:eastAsia="zh-CN" w:bidi="ar"/>
                    </w:rPr>
                    <w:t>。</w:t>
                  </w:r>
                </w:p>
              </w:tc>
            </w:tr>
            <w:tr>
              <w:trPr>
                <w:trHeight w:val="90" w:hRule="atLeast"/>
              </w:trP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rPr>
                <w:trHeight w:val="90" w:hRule="atLeast"/>
              </w:trPr>
              <w:tc>
                <w:tcPr>
                  <w:tcW w:w="2213"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kern w:val="2"/>
                      <w:sz w:val="21"/>
                      <w:szCs w:val="21"/>
                      <w:vertAlign w:val="baseline"/>
                      <w:lang w:val="en-US" w:eastAsia="zh-CN" w:bidi="ar"/>
                    </w:rPr>
                    <w:t>8</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王坚成</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教授</w:t>
                  </w:r>
                </w:p>
              </w:tc>
              <w:tc>
                <w:tcPr>
                  <w:tcW w:w="2215"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北京大学药学院</w:t>
                  </w:r>
                </w:p>
              </w:tc>
              <w:tc>
                <w:tcPr>
                  <w:tcW w:w="2218" w:type="dxa"/>
                  <w:vAlign w:val="top"/>
                </w:tcPr>
                <w:p>
                  <w:pPr>
                    <w:spacing w:line="240" w:lineRule="exact"/>
                    <w:jc w:val="center"/>
                    <w:rPr>
                      <w:rFonts w:hint="default"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w:t>
                  </w:r>
                </w:p>
              </w:tc>
            </w:tr>
            <w:tr>
              <w:trPr>
                <w:trHeight w:val="90" w:hRule="atLeast"/>
              </w:trPr>
              <w:tc>
                <w:tcPr>
                  <w:tcW w:w="11074" w:type="dxa"/>
                  <w:gridSpan w:val="5"/>
                  <w:vAlign w:val="top"/>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深度参与本项目的执行，承担了相关基础工作，对甲状腺功能异常的治疗干预方法进行了深入探索。针对传统L-T4的局限性，研发了一种甲状腺素缓释微球及其制备方法，完成了药物体外释放曲线验证与体内药代动力学模型验证。完成工作见附件</w:t>
                  </w:r>
                  <w:r>
                    <w:rPr>
                      <w:rFonts w:hint="default" w:cs="Times New Roman"/>
                      <w:strike w:val="0"/>
                      <w:dstrike w:val="0"/>
                      <w:color w:val="000000"/>
                      <w:spacing w:val="2"/>
                      <w:sz w:val="21"/>
                      <w:szCs w:val="21"/>
                      <w:vertAlign w:val="baseline"/>
                      <w:lang w:val="en-US" w:eastAsia="zh-CN" w:bidi="ar"/>
                    </w:rPr>
                    <w:t>，对应“</w:t>
                  </w:r>
                  <w:r>
                    <w:rPr>
                      <w:rFonts w:hint="eastAsia" w:cs="Times New Roman"/>
                      <w:strike w:val="0"/>
                      <w:dstrike w:val="0"/>
                      <w:color w:val="000000"/>
                      <w:spacing w:val="2"/>
                      <w:sz w:val="21"/>
                      <w:szCs w:val="21"/>
                      <w:vertAlign w:val="baseline"/>
                      <w:lang w:val="en-US" w:eastAsia="zh-CN" w:bidi="ar"/>
                    </w:rPr>
                    <w:t>重要科学发现</w:t>
                  </w:r>
                  <w:r>
                    <w:rPr>
                      <w:rFonts w:hint="default" w:cs="Times New Roman"/>
                      <w:strike w:val="0"/>
                      <w:dstrike w:val="0"/>
                      <w:color w:val="000000"/>
                      <w:spacing w:val="2"/>
                      <w:sz w:val="21"/>
                      <w:szCs w:val="21"/>
                      <w:vertAlign w:val="baseline"/>
                      <w:lang w:val="en-US" w:eastAsia="zh-CN" w:bidi="ar"/>
                    </w:rPr>
                    <w:t>”所列</w:t>
                  </w:r>
                  <w:r>
                    <w:rPr>
                      <w:rFonts w:hint="eastAsia" w:cs="Times New Roman"/>
                      <w:strike w:val="0"/>
                      <w:dstrike w:val="0"/>
                      <w:color w:val="000000"/>
                      <w:spacing w:val="2"/>
                      <w:sz w:val="21"/>
                      <w:szCs w:val="21"/>
                      <w:vertAlign w:val="baseline"/>
                      <w:lang w:val="en-US" w:eastAsia="zh-CN" w:bidi="ar"/>
                    </w:rPr>
                    <w:t>科学发现三</w:t>
                  </w:r>
                  <w:r>
                    <w:rPr>
                      <w:rFonts w:hint="default" w:cs="Times New Roman"/>
                      <w:strike w:val="0"/>
                      <w:dstrike w:val="0"/>
                      <w:color w:val="000000"/>
                      <w:spacing w:val="2"/>
                      <w:sz w:val="21"/>
                      <w:szCs w:val="21"/>
                      <w:vertAlign w:val="baseline"/>
                      <w:lang w:val="en-US" w:eastAsia="zh-CN" w:bidi="ar"/>
                    </w:rPr>
                    <w:t>。</w:t>
                  </w:r>
                </w:p>
              </w:tc>
            </w:tr>
            <w:tr>
              <w:trPr>
                <w:trHeight w:val="90" w:hRule="atLeast"/>
              </w:trP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9</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王贵松</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北京大学第三医院</w:t>
                  </w:r>
                </w:p>
              </w:tc>
              <w:tc>
                <w:tcPr>
                  <w:tcW w:w="2218"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北京大学</w:t>
                  </w:r>
                  <w:bookmarkStart w:id="0" w:name="_GoBack"/>
                  <w:bookmarkEnd w:id="0"/>
                </w:p>
              </w:tc>
            </w:tr>
            <w:tr>
              <w:tc>
                <w:tcPr>
                  <w:tcW w:w="11074" w:type="dxa"/>
                  <w:gridSpan w:val="5"/>
                  <w:vAlign w:val="top"/>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本项目重要参与人，主要从事代谢性危险因素致心血管疾病的机制研究，探索了甲状腺激素通过调节Ryanodine 受体磷酸化维持钙稳态，改善心肌兴奋收缩耦联，从而降低心律失常风险和改善心功能，为心力衰竭患者采用甲状腺激素替代治疗奠定了理论基础。完成工作见附件，对应</w:t>
                  </w:r>
                  <w:r>
                    <w:rPr>
                      <w:rFonts w:hint="default" w:cs="Times New Roman"/>
                      <w:color w:val="000000"/>
                      <w:spacing w:val="2"/>
                      <w:sz w:val="21"/>
                      <w:szCs w:val="21"/>
                      <w:vertAlign w:val="baseline"/>
                      <w:lang w:val="en-US" w:eastAsia="zh-CN" w:bidi="ar"/>
                    </w:rPr>
                    <w:t>“</w:t>
                  </w:r>
                  <w:r>
                    <w:rPr>
                      <w:rFonts w:hint="eastAsia" w:cs="Times New Roman"/>
                      <w:color w:val="000000"/>
                      <w:spacing w:val="2"/>
                      <w:sz w:val="21"/>
                      <w:szCs w:val="21"/>
                      <w:vertAlign w:val="baseline"/>
                      <w:lang w:val="en-US" w:eastAsia="zh-CN" w:bidi="ar"/>
                    </w:rPr>
                    <w:t>重要科学发现</w:t>
                  </w:r>
                  <w:r>
                    <w:rPr>
                      <w:rFonts w:hint="default" w:cs="Times New Roman"/>
                      <w:color w:val="000000"/>
                      <w:spacing w:val="2"/>
                      <w:sz w:val="21"/>
                      <w:szCs w:val="21"/>
                      <w:vertAlign w:val="baseline"/>
                      <w:lang w:val="en-US" w:eastAsia="zh-CN" w:bidi="ar"/>
                    </w:rPr>
                    <w:t>”所列</w:t>
                  </w:r>
                  <w:r>
                    <w:rPr>
                      <w:rFonts w:hint="eastAsia" w:cs="Times New Roman"/>
                      <w:color w:val="000000"/>
                      <w:spacing w:val="2"/>
                      <w:sz w:val="21"/>
                      <w:szCs w:val="21"/>
                      <w:vertAlign w:val="baseline"/>
                      <w:lang w:val="en-US" w:eastAsia="zh-CN" w:bidi="ar"/>
                    </w:rPr>
                    <w:t>科学发现二。</w:t>
                  </w:r>
                </w:p>
              </w:tc>
            </w:tr>
            <w:tr>
              <w:tc>
                <w:tcPr>
                  <w:tcW w:w="2213"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排名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姓名</w:t>
                  </w:r>
                </w:p>
              </w:tc>
              <w:tc>
                <w:tcPr>
                  <w:tcW w:w="2214"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技术职称</w:t>
                  </w:r>
                </w:p>
              </w:tc>
              <w:tc>
                <w:tcPr>
                  <w:tcW w:w="2215"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工作单位</w:t>
                  </w:r>
                </w:p>
              </w:tc>
              <w:tc>
                <w:tcPr>
                  <w:tcW w:w="2218" w:type="dxa"/>
                  <w:vAlign w:val="top"/>
                </w:tcPr>
                <w:p>
                  <w:pPr>
                    <w:spacing w:line="240" w:lineRule="exact"/>
                    <w:jc w:val="center"/>
                    <w:rPr>
                      <w:rFonts w:hint="eastAsia" w:ascii="Times New Roman" w:hAnsi="Times New Roman" w:eastAsia="仿宋_GB2312" w:cs="Times New Roman"/>
                      <w:color w:val="000000"/>
                      <w:spacing w:val="2"/>
                      <w:kern w:val="2"/>
                      <w:sz w:val="21"/>
                      <w:szCs w:val="21"/>
                      <w:vertAlign w:val="baseline"/>
                      <w:lang w:val="en-US" w:eastAsia="zh-CN" w:bidi="ar"/>
                    </w:rPr>
                  </w:pPr>
                  <w:r>
                    <w:rPr>
                      <w:rFonts w:hint="eastAsia" w:cs="Times New Roman"/>
                      <w:color w:val="000000"/>
                      <w:spacing w:val="2"/>
                      <w:sz w:val="21"/>
                      <w:szCs w:val="21"/>
                      <w:vertAlign w:val="baseline"/>
                      <w:lang w:val="en-US" w:eastAsia="zh-CN" w:bidi="ar"/>
                    </w:rPr>
                    <w:t>完成单位</w:t>
                  </w:r>
                </w:p>
              </w:tc>
            </w:tr>
            <w:tr>
              <w:tc>
                <w:tcPr>
                  <w:tcW w:w="2213"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10</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徐承义</w:t>
                  </w:r>
                </w:p>
              </w:tc>
              <w:tc>
                <w:tcPr>
                  <w:tcW w:w="2214" w:type="dxa"/>
                  <w:vAlign w:val="top"/>
                </w:tcPr>
                <w:p>
                  <w:pPr>
                    <w:spacing w:line="240" w:lineRule="exact"/>
                    <w:jc w:val="center"/>
                    <w:rPr>
                      <w:rFonts w:hint="default"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主任医师</w:t>
                  </w:r>
                </w:p>
              </w:tc>
              <w:tc>
                <w:tcPr>
                  <w:tcW w:w="2215"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武汉科技大学附属武汉亚洲心脏病医院</w:t>
                  </w:r>
                </w:p>
              </w:tc>
              <w:tc>
                <w:tcPr>
                  <w:tcW w:w="2218" w:type="dxa"/>
                  <w:vAlign w:val="top"/>
                </w:tcPr>
                <w:p>
                  <w:pPr>
                    <w:spacing w:line="240" w:lineRule="exact"/>
                    <w:jc w:val="center"/>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武汉科技大学附属武汉亚洲心脏病医院</w:t>
                  </w:r>
                </w:p>
              </w:tc>
            </w:tr>
            <w:tr>
              <w:tc>
                <w:tcPr>
                  <w:tcW w:w="11074" w:type="dxa"/>
                  <w:gridSpan w:val="5"/>
                  <w:vAlign w:val="top"/>
                </w:tcPr>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对本项目重要科学发现的贡献：</w:t>
                  </w:r>
                </w:p>
                <w:p>
                  <w:pPr>
                    <w:spacing w:line="240" w:lineRule="exact"/>
                    <w:jc w:val="left"/>
                    <w:rPr>
                      <w:rFonts w:hint="eastAsia" w:cs="Times New Roman"/>
                      <w:color w:val="000000"/>
                      <w:spacing w:val="2"/>
                      <w:sz w:val="21"/>
                      <w:szCs w:val="21"/>
                      <w:vertAlign w:val="baseline"/>
                      <w:lang w:val="en-US" w:eastAsia="zh-CN" w:bidi="ar"/>
                    </w:rPr>
                  </w:pPr>
                  <w:r>
                    <w:rPr>
                      <w:rFonts w:hint="eastAsia" w:cs="Times New Roman"/>
                      <w:color w:val="000000"/>
                      <w:spacing w:val="2"/>
                      <w:sz w:val="21"/>
                      <w:szCs w:val="21"/>
                      <w:vertAlign w:val="baseline"/>
                      <w:lang w:val="en-US" w:eastAsia="zh-CN" w:bidi="ar"/>
                    </w:rPr>
                    <w:t>参与项目的预测模型构建、临床验证及成果转化应用等多项工作，利用全国性队列，创新地加入了代谢指标，形成了较传统动脉粥样硬化疾病预测模型更加精准的临床疾病预测模型。完成工作见附件，对应</w:t>
                  </w:r>
                  <w:r>
                    <w:rPr>
                      <w:rFonts w:hint="default" w:cs="Times New Roman"/>
                      <w:strike w:val="0"/>
                      <w:dstrike w:val="0"/>
                      <w:color w:val="000000"/>
                      <w:spacing w:val="2"/>
                      <w:sz w:val="21"/>
                      <w:szCs w:val="21"/>
                      <w:vertAlign w:val="baseline"/>
                      <w:lang w:val="en-US" w:eastAsia="zh-CN" w:bidi="ar"/>
                    </w:rPr>
                    <w:t>“</w:t>
                  </w:r>
                  <w:r>
                    <w:rPr>
                      <w:rFonts w:hint="eastAsia" w:cs="Times New Roman"/>
                      <w:strike w:val="0"/>
                      <w:dstrike w:val="0"/>
                      <w:color w:val="000000"/>
                      <w:spacing w:val="2"/>
                      <w:sz w:val="21"/>
                      <w:szCs w:val="21"/>
                      <w:vertAlign w:val="baseline"/>
                      <w:lang w:val="en-US" w:eastAsia="zh-CN" w:bidi="ar"/>
                    </w:rPr>
                    <w:t>重要科学发现</w:t>
                  </w:r>
                  <w:r>
                    <w:rPr>
                      <w:rFonts w:hint="default" w:cs="Times New Roman"/>
                      <w:strike w:val="0"/>
                      <w:dstrike w:val="0"/>
                      <w:color w:val="000000"/>
                      <w:spacing w:val="2"/>
                      <w:sz w:val="21"/>
                      <w:szCs w:val="21"/>
                      <w:vertAlign w:val="baseline"/>
                      <w:lang w:val="en-US" w:eastAsia="zh-CN" w:bidi="ar"/>
                    </w:rPr>
                    <w:t>”所列</w:t>
                  </w:r>
                  <w:r>
                    <w:rPr>
                      <w:rFonts w:hint="eastAsia" w:cs="Times New Roman"/>
                      <w:strike w:val="0"/>
                      <w:dstrike w:val="0"/>
                      <w:color w:val="000000"/>
                      <w:spacing w:val="2"/>
                      <w:sz w:val="21"/>
                      <w:szCs w:val="21"/>
                      <w:vertAlign w:val="baseline"/>
                      <w:lang w:val="en-US" w:eastAsia="zh-CN" w:bidi="ar"/>
                    </w:rPr>
                    <w:t>科学发现三。</w:t>
                  </w:r>
                </w:p>
              </w:tc>
            </w:tr>
          </w:tbl>
          <w:p>
            <w:pPr>
              <w:spacing w:line="240" w:lineRule="exact"/>
              <w:rPr>
                <w:rFonts w:hint="eastAsia" w:cs="Times New Roman"/>
                <w:color w:val="000000"/>
                <w:spacing w:val="2"/>
                <w:sz w:val="21"/>
                <w:szCs w:val="21"/>
                <w:lang w:bidi="ar"/>
              </w:rPr>
            </w:pPr>
          </w:p>
        </w:tc>
      </w:tr>
      <w:tr>
        <w:trPr>
          <w:trHeight w:val="349" w:hRule="atLeast"/>
          <w:jc w:val="center"/>
        </w:trPr>
        <w:tc>
          <w:tcPr>
            <w:tcW w:w="2263" w:type="dxa"/>
            <w:gridSpan w:val="2"/>
            <w:vAlign w:val="center"/>
          </w:tcPr>
          <w:p>
            <w:pPr>
              <w:spacing w:line="280" w:lineRule="exact"/>
              <w:jc w:val="center"/>
              <w:rPr>
                <w:rFonts w:ascii="黑体" w:hAnsi="黑体" w:eastAsia="黑体" w:cs="黑体"/>
                <w:sz w:val="22"/>
              </w:rPr>
            </w:pPr>
            <w:r>
              <w:rPr>
                <w:rFonts w:hint="eastAsia" w:ascii="黑体" w:hAnsi="黑体" w:eastAsia="黑体" w:cs="黑体"/>
                <w:sz w:val="22"/>
              </w:rPr>
              <w:t>主要完成单位</w:t>
            </w:r>
          </w:p>
        </w:tc>
        <w:tc>
          <w:tcPr>
            <w:tcW w:w="11343" w:type="dxa"/>
            <w:gridSpan w:val="10"/>
          </w:tcPr>
          <w:p>
            <w:pPr>
              <w:spacing w:line="400" w:lineRule="exact"/>
              <w:ind w:firstLine="420" w:firstLineChars="200"/>
              <w:rPr>
                <w:rFonts w:cs="Times New Roman"/>
                <w:bCs/>
                <w:color w:val="000000"/>
                <w:sz w:val="24"/>
                <w:szCs w:val="24"/>
                <w:lang w:bidi="ar"/>
              </w:rPr>
            </w:pPr>
            <w:r>
              <w:rPr>
                <w:rFonts w:hint="eastAsia"/>
                <w:sz w:val="21"/>
                <w:szCs w:val="21"/>
                <w:lang w:val="en-US" w:eastAsia="zh-CN"/>
              </w:rPr>
              <w:t>北京大学、山东第一医科大学附属医院、中国医学科学院阜外医院、北京豪思生物科技股份有限公司、</w:t>
            </w:r>
            <w:r>
              <w:rPr>
                <w:rFonts w:hint="eastAsia" w:cs="Times New Roman"/>
                <w:color w:val="000000"/>
                <w:spacing w:val="2"/>
                <w:sz w:val="21"/>
                <w:szCs w:val="21"/>
                <w:vertAlign w:val="baseline"/>
                <w:lang w:val="en-US" w:eastAsia="zh-CN" w:bidi="ar"/>
              </w:rPr>
              <w:t>武汉科技大学附属武汉亚洲心脏病医院</w:t>
            </w:r>
          </w:p>
        </w:tc>
      </w:tr>
      <w:tr>
        <w:trPr>
          <w:trHeight w:val="1008" w:hRule="atLeast"/>
          <w:jc w:val="center"/>
        </w:trPr>
        <w:tc>
          <w:tcPr>
            <w:tcW w:w="2263" w:type="dxa"/>
            <w:gridSpan w:val="2"/>
            <w:vAlign w:val="center"/>
          </w:tcPr>
          <w:p>
            <w:pPr>
              <w:spacing w:line="240" w:lineRule="exact"/>
              <w:jc w:val="center"/>
              <w:rPr>
                <w:rFonts w:ascii="黑体" w:hAnsi="黑体" w:eastAsia="黑体" w:cs="黑体"/>
                <w:sz w:val="22"/>
              </w:rPr>
            </w:pPr>
            <w:r>
              <w:rPr>
                <w:rFonts w:hint="eastAsia" w:ascii="黑体" w:hAnsi="黑体" w:eastAsia="黑体" w:cs="黑体"/>
                <w:sz w:val="22"/>
              </w:rPr>
              <w:t>提名意见</w:t>
            </w:r>
          </w:p>
        </w:tc>
        <w:tc>
          <w:tcPr>
            <w:tcW w:w="11343" w:type="dxa"/>
            <w:gridSpan w:val="10"/>
            <w:vAlign w:val="center"/>
          </w:tcPr>
          <w:p>
            <w:pPr>
              <w:spacing w:line="240" w:lineRule="exact"/>
              <w:rPr>
                <w:rFonts w:cs="Times New Roman"/>
                <w:color w:val="000000"/>
                <w:spacing w:val="2"/>
                <w:sz w:val="21"/>
                <w:szCs w:val="21"/>
                <w:lang w:bidi="ar"/>
              </w:rPr>
            </w:pPr>
            <w:r>
              <w:rPr>
                <w:rFonts w:hint="eastAsia" w:cs="Times New Roman"/>
                <w:color w:val="000000"/>
                <w:spacing w:val="2"/>
                <w:sz w:val="21"/>
                <w:szCs w:val="21"/>
                <w:lang w:bidi="ar"/>
              </w:rPr>
              <w:t>（不超过</w:t>
            </w:r>
            <w:r>
              <w:rPr>
                <w:rFonts w:cs="Times New Roman"/>
                <w:color w:val="000000"/>
                <w:spacing w:val="2"/>
                <w:sz w:val="21"/>
                <w:szCs w:val="21"/>
                <w:lang w:bidi="ar"/>
              </w:rPr>
              <w:t>5</w:t>
            </w:r>
            <w:r>
              <w:rPr>
                <w:rFonts w:hint="eastAsia" w:cs="Times New Roman"/>
                <w:color w:val="000000"/>
                <w:spacing w:val="2"/>
                <w:sz w:val="21"/>
                <w:szCs w:val="21"/>
                <w:lang w:bidi="ar"/>
              </w:rPr>
              <w:t>00字，如实对科技创新点的创新性、先进性、应用效果和对行业科技进步的作用进行概述。并对所有完成人的政治立场、师德师风、教书育人等情况进行评价。）</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该项目创新提出甲减</w:t>
            </w:r>
            <w:r>
              <w:rPr>
                <w:rFonts w:hint="eastAsia" w:cs="Times New Roman"/>
                <w:color w:val="000000"/>
                <w:spacing w:val="2"/>
                <w:sz w:val="21"/>
                <w:szCs w:val="21"/>
                <w:lang w:val="en-US" w:eastAsia="zh-CN" w:bidi="ar"/>
              </w:rPr>
              <w:t>可</w:t>
            </w:r>
            <w:r>
              <w:rPr>
                <w:rFonts w:hint="eastAsia" w:cs="Times New Roman"/>
                <w:color w:val="000000"/>
                <w:spacing w:val="2"/>
                <w:sz w:val="21"/>
                <w:szCs w:val="21"/>
                <w:lang w:bidi="ar"/>
              </w:rPr>
              <w:t>致心肌损伤</w:t>
            </w:r>
            <w:r>
              <w:rPr>
                <w:rFonts w:hint="eastAsia" w:cs="Times New Roman"/>
                <w:color w:val="000000"/>
                <w:spacing w:val="2"/>
                <w:sz w:val="21"/>
                <w:szCs w:val="21"/>
                <w:lang w:val="en-US" w:eastAsia="zh-CN" w:bidi="ar"/>
              </w:rPr>
              <w:t>从而导致心血管疾病患者预后不良</w:t>
            </w:r>
            <w:r>
              <w:rPr>
                <w:rFonts w:hint="eastAsia" w:cs="Times New Roman"/>
                <w:color w:val="000000"/>
                <w:spacing w:val="2"/>
                <w:sz w:val="21"/>
                <w:szCs w:val="21"/>
                <w:lang w:bidi="ar"/>
              </w:rPr>
              <w:t>。通过多维度机制研究构建"甲状腺-心脏"交互网络，阐明甲减诱发钙稳态失衡和心肌肌节结构破坏直接导致心肌损伤的分子机制，揭示甲减通过抑制血管功能和协同肝脏代谢紊乱间接损伤心肌的病理机制，发现促甲状腺激素通过“TSHR/cAMP-PKA-NFκB/JNK”途径独立促发动脉粥样硬化的炎症机制。本项目还揭示了甲状腺-心血管共病患者现有激素替代治疗困境的分子基础，研发新型药物破解激素替代治疗困境，开发心血管疾病WAMI预测评分系统实现疾病早期预警，基于ThyroHeart系列研究制定甲状腺-心血管共病患者全新治疗策略，</w:t>
            </w:r>
            <w:r>
              <w:rPr>
                <w:rFonts w:hint="eastAsia" w:cs="Times New Roman"/>
                <w:color w:val="000000"/>
                <w:spacing w:val="2"/>
                <w:sz w:val="21"/>
                <w:szCs w:val="21"/>
                <w:lang w:val="en-US" w:eastAsia="zh-CN" w:bidi="ar"/>
              </w:rPr>
              <w:t>并牵头组建</w:t>
            </w:r>
            <w:r>
              <w:rPr>
                <w:rFonts w:hint="eastAsia" w:cs="Times New Roman"/>
                <w:color w:val="000000"/>
                <w:spacing w:val="2"/>
                <w:sz w:val="21"/>
                <w:szCs w:val="21"/>
                <w:lang w:bidi="ar"/>
              </w:rPr>
              <w:t>全国心血管代谢专病医联体</w:t>
            </w:r>
            <w:r>
              <w:rPr>
                <w:rFonts w:hint="eastAsia" w:cs="Times New Roman"/>
                <w:color w:val="000000"/>
                <w:spacing w:val="2"/>
                <w:sz w:val="21"/>
                <w:szCs w:val="21"/>
                <w:lang w:eastAsia="zh-CN" w:bidi="ar"/>
              </w:rPr>
              <w:t>。</w:t>
            </w:r>
            <w:r>
              <w:rPr>
                <w:rFonts w:hint="eastAsia" w:cs="Times New Roman"/>
                <w:color w:val="000000"/>
                <w:spacing w:val="2"/>
                <w:sz w:val="21"/>
                <w:szCs w:val="21"/>
                <w:lang w:bidi="ar"/>
              </w:rPr>
              <w:t>相关成果被纳入美国心衰指南和白皮书，推动临床指南与实践变革。</w:t>
            </w:r>
          </w:p>
          <w:p>
            <w:pPr>
              <w:spacing w:line="240" w:lineRule="exact"/>
              <w:ind w:firstLine="428" w:firstLineChars="200"/>
              <w:rPr>
                <w:rFonts w:hint="eastAsia" w:cs="Times New Roman"/>
                <w:color w:val="000000"/>
                <w:spacing w:val="2"/>
                <w:sz w:val="21"/>
                <w:szCs w:val="21"/>
                <w:lang w:bidi="ar"/>
              </w:rPr>
            </w:pPr>
            <w:r>
              <w:rPr>
                <w:rFonts w:hint="eastAsia" w:cs="Times New Roman"/>
                <w:strike w:val="0"/>
                <w:dstrike w:val="0"/>
                <w:color w:val="000000"/>
                <w:spacing w:val="2"/>
                <w:sz w:val="21"/>
                <w:szCs w:val="21"/>
                <w:lang w:val="en-US" w:eastAsia="zh-CN" w:bidi="ar"/>
              </w:rPr>
              <w:t>项目团队获国际发明专利</w:t>
            </w:r>
            <w:r>
              <w:rPr>
                <w:rFonts w:hint="eastAsia" w:cs="Times New Roman"/>
                <w:color w:val="000000"/>
                <w:spacing w:val="2"/>
                <w:sz w:val="21"/>
                <w:szCs w:val="21"/>
                <w:lang w:bidi="ar"/>
              </w:rPr>
              <w:t>29项、</w:t>
            </w:r>
            <w:r>
              <w:rPr>
                <w:rFonts w:hint="eastAsia" w:cs="Times New Roman"/>
                <w:color w:val="000000"/>
                <w:spacing w:val="2"/>
                <w:sz w:val="21"/>
                <w:szCs w:val="21"/>
                <w:lang w:val="en-US" w:eastAsia="zh-CN" w:bidi="ar"/>
              </w:rPr>
              <w:t>已</w:t>
            </w:r>
            <w:r>
              <w:rPr>
                <w:rFonts w:hint="eastAsia" w:cs="Times New Roman"/>
                <w:color w:val="000000"/>
                <w:spacing w:val="2"/>
                <w:sz w:val="21"/>
                <w:szCs w:val="21"/>
                <w:lang w:bidi="ar"/>
              </w:rPr>
              <w:t>转化16项</w:t>
            </w:r>
            <w:r>
              <w:rPr>
                <w:rFonts w:hint="eastAsia" w:cs="Times New Roman"/>
                <w:color w:val="000000"/>
                <w:spacing w:val="2"/>
                <w:sz w:val="21"/>
                <w:szCs w:val="21"/>
                <w:lang w:eastAsia="zh-CN" w:bidi="ar"/>
              </w:rPr>
              <w:t>，</w:t>
            </w:r>
            <w:r>
              <w:rPr>
                <w:rFonts w:hint="eastAsia" w:cs="Times New Roman"/>
                <w:color w:val="000000"/>
                <w:spacing w:val="2"/>
                <w:sz w:val="21"/>
                <w:szCs w:val="21"/>
                <w:lang w:val="en-US" w:eastAsia="zh-CN" w:bidi="ar"/>
              </w:rPr>
              <w:t>在Circulation、Hepatology等领域顶刊发表论文194篇，累积他引2180次。</w:t>
            </w:r>
            <w:r>
              <w:rPr>
                <w:rFonts w:hint="eastAsia" w:cs="Times New Roman"/>
                <w:color w:val="000000"/>
                <w:spacing w:val="2"/>
                <w:sz w:val="21"/>
                <w:szCs w:val="21"/>
                <w:lang w:bidi="ar"/>
              </w:rPr>
              <w:t>主编首部《甲状腺与心血管疾病》专著。制定国家行业标准2项，牵头制定《心血管疾病合并甲状腺功能异常临床诊治专家共识》等指南/共识6部，相关成果被纳入美国心衰指南和NIH/NIA白皮书。</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该项目的主要完成人政治立场坚定，能够坚决贯彻执行党的路线，方针、政策，忠诚党的教育事业，爱岗敬业、为人师表、治学严谨，具有良好的职业道德和师德师风，热爱教学和科研工作，长期坚持在教学和科研第一线，改革创新、锐意进取，在相关领城取得了突出的创新成果。</w:t>
            </w:r>
          </w:p>
          <w:p>
            <w:pPr>
              <w:spacing w:line="240" w:lineRule="exact"/>
              <w:ind w:firstLine="428" w:firstLineChars="200"/>
              <w:rPr>
                <w:rFonts w:cs="Times New Roman"/>
                <w:color w:val="000000"/>
                <w:spacing w:val="2"/>
                <w:sz w:val="21"/>
                <w:szCs w:val="21"/>
                <w:lang w:bidi="ar"/>
              </w:rPr>
            </w:pPr>
            <w:r>
              <w:rPr>
                <w:rFonts w:hint="eastAsia" w:cs="Times New Roman"/>
                <w:color w:val="000000"/>
                <w:spacing w:val="2"/>
                <w:sz w:val="21"/>
                <w:szCs w:val="21"/>
                <w:lang w:bidi="ar"/>
              </w:rPr>
              <w:t>对照教育部奖授奖条件，决定提名该项目为202</w:t>
            </w:r>
            <w:r>
              <w:rPr>
                <w:rFonts w:cs="Times New Roman"/>
                <w:color w:val="000000"/>
                <w:spacing w:val="2"/>
                <w:sz w:val="21"/>
                <w:szCs w:val="21"/>
                <w:lang w:bidi="ar"/>
              </w:rPr>
              <w:t>5</w:t>
            </w:r>
            <w:r>
              <w:rPr>
                <w:rFonts w:hint="eastAsia" w:cs="Times New Roman"/>
                <w:color w:val="000000"/>
                <w:spacing w:val="2"/>
                <w:sz w:val="21"/>
                <w:szCs w:val="21"/>
                <w:lang w:bidi="ar"/>
              </w:rPr>
              <w:t>年度教育部工程技术（应用创新类）奖一等奖。</w:t>
            </w:r>
          </w:p>
        </w:tc>
      </w:tr>
      <w:tr>
        <w:trPr>
          <w:trHeight w:val="484" w:hRule="atLeast"/>
          <w:jc w:val="center"/>
        </w:trPr>
        <w:tc>
          <w:tcPr>
            <w:tcW w:w="2263" w:type="dxa"/>
            <w:gridSpan w:val="2"/>
            <w:vAlign w:val="center"/>
          </w:tcPr>
          <w:p>
            <w:pPr>
              <w:spacing w:line="240" w:lineRule="exact"/>
              <w:jc w:val="center"/>
              <w:rPr>
                <w:rFonts w:ascii="黑体" w:hAnsi="黑体" w:eastAsia="黑体" w:cs="黑体"/>
                <w:sz w:val="22"/>
              </w:rPr>
            </w:pPr>
            <w:r>
              <w:rPr>
                <w:rFonts w:hint="eastAsia" w:ascii="黑体" w:hAnsi="黑体" w:eastAsia="黑体" w:cs="黑体"/>
                <w:sz w:val="22"/>
              </w:rPr>
              <w:t>项目简介</w:t>
            </w:r>
          </w:p>
        </w:tc>
        <w:tc>
          <w:tcPr>
            <w:tcW w:w="11343" w:type="dxa"/>
            <w:gridSpan w:val="10"/>
            <w:vAlign w:val="center"/>
          </w:tcPr>
          <w:p>
            <w:pPr>
              <w:spacing w:line="240" w:lineRule="exact"/>
              <w:rPr>
                <w:rFonts w:cs="Times New Roman"/>
                <w:color w:val="000000"/>
                <w:spacing w:val="2"/>
                <w:sz w:val="21"/>
                <w:szCs w:val="21"/>
                <w:lang w:bidi="ar"/>
              </w:rPr>
            </w:pPr>
            <w:r>
              <w:rPr>
                <w:rFonts w:hint="eastAsia" w:cs="Times New Roman"/>
                <w:color w:val="000000"/>
                <w:spacing w:val="2"/>
                <w:sz w:val="21"/>
                <w:szCs w:val="21"/>
                <w:lang w:bidi="ar"/>
              </w:rPr>
              <w:t>（限1</w:t>
            </w:r>
            <w:r>
              <w:rPr>
                <w:rFonts w:cs="Times New Roman"/>
                <w:color w:val="000000"/>
                <w:spacing w:val="2"/>
                <w:sz w:val="21"/>
                <w:szCs w:val="21"/>
                <w:lang w:bidi="ar"/>
              </w:rPr>
              <w:t>200</w:t>
            </w:r>
            <w:r>
              <w:rPr>
                <w:rFonts w:hint="eastAsia" w:cs="Times New Roman"/>
                <w:color w:val="000000"/>
                <w:spacing w:val="2"/>
                <w:sz w:val="21"/>
                <w:szCs w:val="21"/>
                <w:lang w:bidi="ar"/>
              </w:rPr>
              <w:t>字，应包含项目主要技术内容、授权专利情况、技术经济指标、应用及效益情况等）</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心血管疾病是我国重大疾病负担，年死亡人数高达458万，占总死亡构成的46.74%。传统诊疗聚焦于高血压、高血脂、糖尿病三大危险因素，但甲状腺功能</w:t>
            </w:r>
            <w:r>
              <w:rPr>
                <w:rFonts w:hint="eastAsia" w:cs="Times New Roman"/>
                <w:color w:val="000000"/>
                <w:spacing w:val="2"/>
                <w:sz w:val="21"/>
                <w:szCs w:val="21"/>
                <w:lang w:val="en-US" w:eastAsia="zh-CN" w:bidi="ar"/>
              </w:rPr>
              <w:t>减退</w:t>
            </w:r>
            <w:r>
              <w:rPr>
                <w:rFonts w:hint="eastAsia" w:cs="Times New Roman"/>
                <w:color w:val="000000"/>
                <w:spacing w:val="2"/>
                <w:sz w:val="21"/>
                <w:szCs w:val="21"/>
                <w:lang w:bidi="ar"/>
              </w:rPr>
              <w:t>（心血管病人群患病率高达20%-30%）作为“被忽视的重大危险因素”在临床上仍缺少重视。长期以来，</w:t>
            </w:r>
            <w:r>
              <w:rPr>
                <w:rFonts w:hint="eastAsia" w:cs="Times New Roman"/>
                <w:color w:val="000000"/>
                <w:spacing w:val="2"/>
                <w:sz w:val="21"/>
                <w:szCs w:val="21"/>
                <w:lang w:val="en-US" w:eastAsia="zh-CN" w:bidi="ar"/>
              </w:rPr>
              <w:t>甲减是否可以</w:t>
            </w:r>
            <w:r>
              <w:rPr>
                <w:rFonts w:hint="eastAsia" w:cs="Times New Roman"/>
                <w:color w:val="000000"/>
                <w:spacing w:val="2"/>
                <w:sz w:val="21"/>
                <w:szCs w:val="21"/>
                <w:lang w:bidi="ar"/>
              </w:rPr>
              <w:t>导致心肌损伤</w:t>
            </w:r>
            <w:r>
              <w:rPr>
                <w:rFonts w:hint="eastAsia" w:cs="Times New Roman"/>
                <w:color w:val="000000"/>
                <w:spacing w:val="2"/>
                <w:sz w:val="21"/>
                <w:szCs w:val="21"/>
                <w:lang w:val="en-US" w:eastAsia="zh-CN" w:bidi="ar"/>
              </w:rPr>
              <w:t>以及相关机制并不明确；另外，</w:t>
            </w:r>
            <w:r>
              <w:rPr>
                <w:rFonts w:hint="eastAsia" w:cs="Times New Roman"/>
                <w:color w:val="000000"/>
                <w:spacing w:val="2"/>
                <w:sz w:val="21"/>
                <w:szCs w:val="21"/>
                <w:lang w:bidi="ar"/>
              </w:rPr>
              <w:t>合并</w:t>
            </w:r>
            <w:r>
              <w:rPr>
                <w:rFonts w:hint="eastAsia" w:cs="Times New Roman"/>
                <w:color w:val="000000"/>
                <w:spacing w:val="2"/>
                <w:sz w:val="21"/>
                <w:szCs w:val="21"/>
                <w:lang w:val="en-US" w:eastAsia="zh-CN" w:bidi="ar"/>
              </w:rPr>
              <w:t>甲减</w:t>
            </w:r>
            <w:r>
              <w:rPr>
                <w:rFonts w:hint="eastAsia" w:cs="Times New Roman"/>
                <w:color w:val="000000"/>
                <w:spacing w:val="2"/>
                <w:sz w:val="21"/>
                <w:szCs w:val="21"/>
                <w:lang w:bidi="ar"/>
              </w:rPr>
              <w:t>的</w:t>
            </w:r>
            <w:r>
              <w:rPr>
                <w:rFonts w:hint="eastAsia" w:cs="Times New Roman"/>
                <w:color w:val="000000"/>
                <w:spacing w:val="2"/>
                <w:sz w:val="21"/>
                <w:szCs w:val="21"/>
                <w:lang w:val="en-US" w:eastAsia="zh-CN" w:bidi="ar"/>
              </w:rPr>
              <w:t>重症</w:t>
            </w:r>
            <w:r>
              <w:rPr>
                <w:rFonts w:hint="eastAsia" w:cs="Times New Roman"/>
                <w:color w:val="000000"/>
                <w:spacing w:val="2"/>
                <w:sz w:val="21"/>
                <w:szCs w:val="21"/>
                <w:lang w:bidi="ar"/>
              </w:rPr>
              <w:t>心血管</w:t>
            </w:r>
            <w:r>
              <w:rPr>
                <w:rFonts w:hint="eastAsia" w:cs="Times New Roman"/>
                <w:color w:val="000000"/>
                <w:spacing w:val="2"/>
                <w:sz w:val="21"/>
                <w:szCs w:val="21"/>
                <w:lang w:val="en-US" w:eastAsia="zh-CN" w:bidi="ar"/>
              </w:rPr>
              <w:t>病</w:t>
            </w:r>
            <w:r>
              <w:rPr>
                <w:rFonts w:hint="eastAsia" w:cs="Times New Roman"/>
                <w:color w:val="000000"/>
                <w:spacing w:val="2"/>
                <w:sz w:val="21"/>
                <w:szCs w:val="21"/>
                <w:lang w:bidi="ar"/>
              </w:rPr>
              <w:t>患者</w:t>
            </w:r>
            <w:r>
              <w:rPr>
                <w:rFonts w:hint="eastAsia" w:cs="Times New Roman"/>
                <w:color w:val="000000"/>
                <w:spacing w:val="2"/>
                <w:sz w:val="21"/>
                <w:szCs w:val="21"/>
                <w:lang w:val="en-US" w:eastAsia="zh-CN" w:bidi="ar"/>
              </w:rPr>
              <w:t>的精准诊疗也一直困扰临床医生。</w:t>
            </w:r>
            <w:r>
              <w:rPr>
                <w:rFonts w:hint="eastAsia" w:cs="Times New Roman"/>
                <w:color w:val="000000"/>
                <w:spacing w:val="2"/>
                <w:sz w:val="21"/>
                <w:szCs w:val="21"/>
                <w:lang w:bidi="ar"/>
              </w:rPr>
              <w:t>本项目基于国家自然科学基金委重大项目、杰青、面上项目等24项重大课题支持，历经20年攻关，围绕“甲状腺功能减退致心肌损伤的机制研究和防治策略推广”这一核心科学问题，采用“基础-临床-转化”联合研究的方法并深入探索，取得如下原创性突破：</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1.阐明甲状腺功能减退通过"钙稳态失衡-肌节结构破坏-微循环障碍"直接导致心肌损伤的机制。团队通过万人级临床队列、孟德尔随机化及模式动物研究，首次证实甲减是独立于高血压/糖尿病等传统因素的独立心血管危险因素。在模式动物中，证实甲减通过促发钙稳态失衡（T3/TRα-SERCA2a）、破坏心肌串联肌节结构及冠脉微循环储备，直接导致心肌损害。基于上述研究，团队开创性整合甲状腺、肝脏代谢异常与传统危险因素，研发WAMI评分系统（预测急性心梗院内死亡精准度较GRACE/TIMI提升21%-28%），相关成果被纳入美国NIH/NIA白皮书。</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2.</w:t>
            </w:r>
            <w:r>
              <w:rPr>
                <w:rFonts w:hint="eastAsia" w:cs="Times New Roman"/>
                <w:color w:val="000000"/>
                <w:spacing w:val="2"/>
                <w:sz w:val="21"/>
                <w:szCs w:val="21"/>
                <w:lang w:val="en-US" w:eastAsia="zh-CN" w:bidi="ar"/>
              </w:rPr>
              <w:t>解析</w:t>
            </w:r>
            <w:r>
              <w:rPr>
                <w:rFonts w:hint="eastAsia" w:cs="Times New Roman"/>
                <w:color w:val="000000"/>
                <w:spacing w:val="2"/>
                <w:sz w:val="21"/>
                <w:szCs w:val="21"/>
                <w:lang w:bidi="ar"/>
              </w:rPr>
              <w:t>了甲状腺功能减退通过“血管-肝脏-免疫”多器官交互作用及分子调控网络间接导致心肌损伤的机制。在血管功能层面，首次阐明T3缺乏通过抑制PI3K/Akt及nNOS/iNOS减少内皮/平滑肌NO生成，并阻断PKG信号致VASP-Ser239磷酸化受损，导致血管舒张障碍及心肌缺血。在代谢协同层面，首次证实甲减与肝脏脂质紊乱协同致病：DUSP14/USP18缺陷激活JNK/p38通路触发胰岛素抵抗-脂质合成-炎症级联，而Card6通过抑制Ask1-JNK/p38轴维持代谢稳态。在免疫炎症领域，突破性发现TSH可独立于T3/T4经巨噬细胞TSHR激活cAMP/PKA信号，协同驱动NF-κB/JNK通路加剧斑块失稳，间接损伤心肌。</w:t>
            </w:r>
          </w:p>
          <w:p>
            <w:pPr>
              <w:spacing w:line="240" w:lineRule="exact"/>
              <w:ind w:firstLine="428" w:firstLineChars="200"/>
              <w:rPr>
                <w:rFonts w:hint="eastAsia" w:cs="Times New Roman"/>
                <w:color w:val="000000"/>
                <w:spacing w:val="2"/>
                <w:sz w:val="21"/>
                <w:szCs w:val="21"/>
                <w:lang w:bidi="ar"/>
              </w:rPr>
            </w:pPr>
            <w:r>
              <w:rPr>
                <w:rFonts w:hint="eastAsia" w:cs="Times New Roman"/>
                <w:color w:val="000000"/>
                <w:spacing w:val="2"/>
                <w:sz w:val="21"/>
                <w:szCs w:val="21"/>
                <w:lang w:bidi="ar"/>
              </w:rPr>
              <w:t>3.揭示甲状腺-心血管共病患者现有激素替代治疗困境，提出全新临床干预策略。项目团队</w:t>
            </w:r>
            <w:r>
              <w:rPr>
                <w:rFonts w:hint="eastAsia" w:cs="Times New Roman"/>
                <w:color w:val="000000"/>
                <w:spacing w:val="2"/>
                <w:sz w:val="21"/>
                <w:szCs w:val="21"/>
                <w:lang w:val="en-US" w:eastAsia="zh-CN" w:bidi="ar"/>
              </w:rPr>
              <w:t>针对</w:t>
            </w:r>
            <w:r>
              <w:rPr>
                <w:rFonts w:hint="eastAsia" w:cs="Times New Roman"/>
                <w:color w:val="000000"/>
                <w:spacing w:val="2"/>
                <w:sz w:val="21"/>
                <w:szCs w:val="21"/>
                <w:lang w:bidi="ar"/>
              </w:rPr>
              <w:t>心血管病患者普遍存在组织特异性甲状腺激素抵抗</w:t>
            </w:r>
            <w:r>
              <w:rPr>
                <w:rFonts w:hint="eastAsia" w:cs="Times New Roman"/>
                <w:color w:val="000000"/>
                <w:spacing w:val="2"/>
                <w:sz w:val="21"/>
                <w:szCs w:val="21"/>
                <w:lang w:val="en-US" w:eastAsia="zh-CN" w:bidi="ar"/>
              </w:rPr>
              <w:t>的临床难题</w:t>
            </w:r>
            <w:r>
              <w:rPr>
                <w:rFonts w:hint="eastAsia" w:cs="Times New Roman"/>
                <w:color w:val="000000"/>
                <w:spacing w:val="2"/>
                <w:sz w:val="21"/>
                <w:szCs w:val="21"/>
                <w:lang w:bidi="ar"/>
              </w:rPr>
              <w:t>，并研发T3/T4缓释复合制剂，攻克传统LT4起效慢、转化率低的技术瓶颈。主持全球首个甲状腺功能异常干预系列研究（ThyroHeart-AMI、ThyroHeart-Lipid、ThyroHeart-HF），提出"小剂量起始、连续滴定给药"的治疗策略，使甲状腺功能达标率提升32%，心血管事件风险降低18%。基于</w:t>
            </w:r>
            <w:r>
              <w:rPr>
                <w:rFonts w:hint="eastAsia" w:cs="Times New Roman"/>
                <w:color w:val="000000"/>
                <w:spacing w:val="2"/>
                <w:sz w:val="21"/>
                <w:szCs w:val="21"/>
                <w:lang w:val="en-US" w:eastAsia="zh-CN" w:bidi="ar"/>
              </w:rPr>
              <w:t>上述成果研发的</w:t>
            </w:r>
            <w:r>
              <w:rPr>
                <w:rFonts w:hint="eastAsia" w:cs="Times New Roman"/>
                <w:color w:val="000000"/>
                <w:spacing w:val="2"/>
                <w:sz w:val="21"/>
                <w:szCs w:val="21"/>
                <w:lang w:bidi="ar"/>
              </w:rPr>
              <w:t>“一种预测心梗后不良事件的系统及试剂盒”推广至全国 300 余个各级医疗机构，近3年累计实现经济效益 9000 余万元。项目团队牵头组建了全国心血管代谢专病医联体，降低平均住院日达 1.1 天</w:t>
            </w:r>
            <w:r>
              <w:rPr>
                <w:rFonts w:hint="eastAsia" w:cs="Times New Roman"/>
                <w:color w:val="000000"/>
                <w:spacing w:val="2"/>
                <w:sz w:val="21"/>
                <w:szCs w:val="21"/>
                <w:lang w:eastAsia="zh-CN" w:bidi="ar"/>
              </w:rPr>
              <w:t>，</w:t>
            </w:r>
            <w:r>
              <w:rPr>
                <w:rFonts w:hint="eastAsia" w:cs="Times New Roman"/>
                <w:color w:val="000000"/>
                <w:spacing w:val="2"/>
                <w:sz w:val="21"/>
                <w:szCs w:val="21"/>
                <w:lang w:bidi="ar"/>
              </w:rPr>
              <w:t>估算减少医疗费用支出达 1.3 亿。</w:t>
            </w:r>
          </w:p>
          <w:p>
            <w:pPr>
              <w:spacing w:line="240" w:lineRule="exact"/>
              <w:ind w:firstLine="428" w:firstLineChars="200"/>
              <w:rPr>
                <w:rFonts w:hint="eastAsia" w:cs="Times New Roman"/>
                <w:color w:val="000000"/>
                <w:spacing w:val="2"/>
                <w:sz w:val="21"/>
                <w:szCs w:val="21"/>
                <w:lang w:bidi="ar"/>
              </w:rPr>
            </w:pPr>
            <w:r>
              <w:rPr>
                <w:rFonts w:hint="eastAsia" w:cs="Times New Roman"/>
                <w:strike w:val="0"/>
                <w:dstrike w:val="0"/>
                <w:color w:val="000000"/>
                <w:spacing w:val="2"/>
                <w:sz w:val="21"/>
                <w:szCs w:val="21"/>
                <w:lang w:val="en-US" w:eastAsia="zh-CN" w:bidi="ar"/>
              </w:rPr>
              <w:t>项目团队获国际发明专利</w:t>
            </w:r>
            <w:r>
              <w:rPr>
                <w:rFonts w:hint="eastAsia" w:cs="Times New Roman"/>
                <w:color w:val="000000"/>
                <w:spacing w:val="2"/>
                <w:sz w:val="21"/>
                <w:szCs w:val="21"/>
                <w:lang w:bidi="ar"/>
              </w:rPr>
              <w:t>29项、</w:t>
            </w:r>
            <w:r>
              <w:rPr>
                <w:rFonts w:hint="eastAsia" w:cs="Times New Roman"/>
                <w:color w:val="000000"/>
                <w:spacing w:val="2"/>
                <w:sz w:val="21"/>
                <w:szCs w:val="21"/>
                <w:lang w:val="en-US" w:eastAsia="zh-CN" w:bidi="ar"/>
              </w:rPr>
              <w:t>已</w:t>
            </w:r>
            <w:r>
              <w:rPr>
                <w:rFonts w:hint="eastAsia" w:cs="Times New Roman"/>
                <w:color w:val="000000"/>
                <w:spacing w:val="2"/>
                <w:sz w:val="21"/>
                <w:szCs w:val="21"/>
                <w:lang w:bidi="ar"/>
              </w:rPr>
              <w:t>转化16项</w:t>
            </w:r>
            <w:r>
              <w:rPr>
                <w:rFonts w:hint="eastAsia" w:cs="Times New Roman"/>
                <w:color w:val="000000"/>
                <w:spacing w:val="2"/>
                <w:sz w:val="21"/>
                <w:szCs w:val="21"/>
                <w:lang w:eastAsia="zh-CN" w:bidi="ar"/>
              </w:rPr>
              <w:t>，</w:t>
            </w:r>
            <w:r>
              <w:rPr>
                <w:rFonts w:hint="eastAsia" w:cs="Times New Roman"/>
                <w:color w:val="000000"/>
                <w:spacing w:val="2"/>
                <w:sz w:val="21"/>
                <w:szCs w:val="21"/>
                <w:lang w:val="en-US" w:eastAsia="zh-CN" w:bidi="ar"/>
              </w:rPr>
              <w:t>在Circulation、Hepatology等领域顶刊发表论文194篇，累积他引2180次。</w:t>
            </w:r>
            <w:r>
              <w:rPr>
                <w:rFonts w:hint="eastAsia" w:cs="Times New Roman"/>
                <w:color w:val="000000"/>
                <w:spacing w:val="2"/>
                <w:sz w:val="21"/>
                <w:szCs w:val="21"/>
                <w:lang w:bidi="ar"/>
              </w:rPr>
              <w:t>主编首部《甲状腺与心血管疾病》专著。制定国家行业标准2项，牵头制定《心血管疾病合并甲状腺功能异常临床诊治专家共识》（首部领域内共识）等指南/共识6部，培养博士、硕士研究生37名。相关成果被纳入NIH/NIA白皮书，推动我国从“跟跑”到“领跑”国际代谢性心血管病领域。</w:t>
            </w:r>
          </w:p>
        </w:tc>
      </w:tr>
      <w:tr>
        <w:trPr>
          <w:trHeight w:val="476" w:hRule="atLeast"/>
          <w:jc w:val="center"/>
        </w:trPr>
        <w:tc>
          <w:tcPr>
            <w:tcW w:w="13606" w:type="dxa"/>
            <w:gridSpan w:val="12"/>
            <w:vAlign w:val="center"/>
          </w:tcPr>
          <w:p>
            <w:pPr>
              <w:spacing w:line="400" w:lineRule="exact"/>
              <w:jc w:val="center"/>
              <w:rPr>
                <w:rFonts w:ascii="黑体" w:hAnsi="黑体" w:eastAsia="黑体" w:cs="黑体"/>
                <w:sz w:val="24"/>
                <w:szCs w:val="24"/>
              </w:rPr>
            </w:pPr>
            <w:r>
              <w:rPr>
                <w:rFonts w:hint="eastAsia" w:ascii="黑体" w:hAnsi="黑体" w:eastAsia="黑体" w:cs="黑体"/>
                <w:sz w:val="22"/>
              </w:rPr>
              <w:t>主要知识产权和标准规范等目录</w:t>
            </w:r>
          </w:p>
        </w:tc>
      </w:tr>
      <w:tr>
        <w:trPr>
          <w:trHeight w:val="476" w:hRule="atLeast"/>
          <w:jc w:val="center"/>
        </w:trPr>
        <w:tc>
          <w:tcPr>
            <w:tcW w:w="815"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序号</w:t>
            </w:r>
          </w:p>
        </w:tc>
        <w:tc>
          <w:tcPr>
            <w:tcW w:w="1448"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知识产权（标准）类别</w:t>
            </w:r>
          </w:p>
        </w:tc>
        <w:tc>
          <w:tcPr>
            <w:tcW w:w="1687"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知识产权（标准）</w:t>
            </w:r>
          </w:p>
          <w:p>
            <w:pPr>
              <w:spacing w:line="240" w:lineRule="exact"/>
              <w:jc w:val="center"/>
              <w:rPr>
                <w:rFonts w:ascii="黑体" w:hAnsi="黑体" w:eastAsia="黑体" w:cs="黑体"/>
                <w:sz w:val="18"/>
                <w:szCs w:val="18"/>
              </w:rPr>
            </w:pPr>
            <w:r>
              <w:rPr>
                <w:rFonts w:hint="eastAsia" w:ascii="黑体" w:hAnsi="黑体" w:eastAsia="黑体" w:cs="黑体"/>
                <w:sz w:val="18"/>
                <w:szCs w:val="18"/>
              </w:rPr>
              <w:t>具体名称</w:t>
            </w:r>
          </w:p>
        </w:tc>
        <w:tc>
          <w:tcPr>
            <w:tcW w:w="851"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国家</w:t>
            </w:r>
          </w:p>
          <w:p>
            <w:pPr>
              <w:spacing w:line="240" w:lineRule="exact"/>
              <w:jc w:val="center"/>
              <w:rPr>
                <w:rFonts w:ascii="黑体" w:hAnsi="黑体" w:eastAsia="黑体" w:cs="黑体"/>
                <w:sz w:val="18"/>
                <w:szCs w:val="18"/>
              </w:rPr>
            </w:pPr>
            <w:r>
              <w:rPr>
                <w:rFonts w:hint="eastAsia" w:ascii="黑体" w:hAnsi="黑体" w:eastAsia="黑体" w:cs="黑体"/>
                <w:sz w:val="18"/>
                <w:szCs w:val="18"/>
              </w:rPr>
              <w:t>（地区）</w:t>
            </w:r>
          </w:p>
        </w:tc>
        <w:tc>
          <w:tcPr>
            <w:tcW w:w="1174"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授权号</w:t>
            </w:r>
          </w:p>
          <w:p>
            <w:pPr>
              <w:spacing w:line="240" w:lineRule="exact"/>
              <w:jc w:val="center"/>
              <w:rPr>
                <w:rFonts w:ascii="黑体" w:hAnsi="黑体" w:eastAsia="黑体" w:cs="黑体"/>
                <w:sz w:val="18"/>
                <w:szCs w:val="18"/>
              </w:rPr>
            </w:pPr>
            <w:r>
              <w:rPr>
                <w:rFonts w:hint="eastAsia" w:ascii="黑体" w:hAnsi="黑体" w:eastAsia="黑体" w:cs="黑体"/>
                <w:sz w:val="18"/>
                <w:szCs w:val="18"/>
              </w:rPr>
              <w:t>（标准编号）</w:t>
            </w:r>
          </w:p>
        </w:tc>
        <w:tc>
          <w:tcPr>
            <w:tcW w:w="1470" w:type="dxa"/>
            <w:gridSpan w:val="2"/>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授权（标准发布）</w:t>
            </w:r>
          </w:p>
          <w:p>
            <w:pPr>
              <w:spacing w:line="240" w:lineRule="exact"/>
              <w:jc w:val="center"/>
              <w:rPr>
                <w:rFonts w:ascii="黑体" w:hAnsi="黑体" w:eastAsia="黑体" w:cs="黑体"/>
                <w:sz w:val="18"/>
                <w:szCs w:val="18"/>
              </w:rPr>
            </w:pPr>
            <w:r>
              <w:rPr>
                <w:rFonts w:hint="eastAsia" w:ascii="黑体" w:hAnsi="黑体" w:eastAsia="黑体" w:cs="黑体"/>
                <w:sz w:val="18"/>
                <w:szCs w:val="18"/>
              </w:rPr>
              <w:t>日期</w:t>
            </w:r>
          </w:p>
        </w:tc>
        <w:tc>
          <w:tcPr>
            <w:tcW w:w="1815" w:type="dxa"/>
            <w:gridSpan w:val="2"/>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证书编号</w:t>
            </w:r>
          </w:p>
          <w:p>
            <w:pPr>
              <w:spacing w:line="240" w:lineRule="exact"/>
              <w:jc w:val="center"/>
              <w:rPr>
                <w:rFonts w:ascii="黑体" w:hAnsi="黑体" w:eastAsia="黑体" w:cs="黑体"/>
                <w:sz w:val="18"/>
                <w:szCs w:val="18"/>
              </w:rPr>
            </w:pPr>
            <w:r>
              <w:rPr>
                <w:rFonts w:hint="eastAsia" w:ascii="黑体" w:hAnsi="黑体" w:eastAsia="黑体" w:cs="黑体"/>
                <w:sz w:val="18"/>
                <w:szCs w:val="18"/>
              </w:rPr>
              <w:t>（标准批准发布部门）</w:t>
            </w:r>
          </w:p>
        </w:tc>
        <w:tc>
          <w:tcPr>
            <w:tcW w:w="1538"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权利人</w:t>
            </w:r>
          </w:p>
          <w:p>
            <w:pPr>
              <w:spacing w:line="240" w:lineRule="exact"/>
              <w:jc w:val="center"/>
              <w:rPr>
                <w:rFonts w:ascii="黑体" w:hAnsi="黑体" w:eastAsia="黑体" w:cs="黑体"/>
                <w:sz w:val="18"/>
                <w:szCs w:val="18"/>
              </w:rPr>
            </w:pPr>
            <w:r>
              <w:rPr>
                <w:rFonts w:hint="eastAsia" w:ascii="黑体" w:hAnsi="黑体" w:eastAsia="黑体" w:cs="黑体"/>
                <w:sz w:val="18"/>
                <w:szCs w:val="18"/>
              </w:rPr>
              <w:t>（标准起草单位）</w:t>
            </w:r>
          </w:p>
        </w:tc>
        <w:tc>
          <w:tcPr>
            <w:tcW w:w="1325"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发明人</w:t>
            </w:r>
          </w:p>
          <w:p>
            <w:pPr>
              <w:spacing w:line="240" w:lineRule="exact"/>
              <w:jc w:val="center"/>
              <w:rPr>
                <w:rFonts w:ascii="黑体" w:hAnsi="黑体" w:eastAsia="黑体" w:cs="黑体"/>
                <w:sz w:val="18"/>
                <w:szCs w:val="18"/>
              </w:rPr>
            </w:pPr>
            <w:r>
              <w:rPr>
                <w:rFonts w:hint="eastAsia" w:ascii="黑体" w:hAnsi="黑体" w:eastAsia="黑体" w:cs="黑体"/>
                <w:sz w:val="18"/>
                <w:szCs w:val="18"/>
              </w:rPr>
              <w:t>（标准起草人）</w:t>
            </w:r>
          </w:p>
        </w:tc>
        <w:tc>
          <w:tcPr>
            <w:tcW w:w="1483" w:type="dxa"/>
            <w:vAlign w:val="center"/>
          </w:tcPr>
          <w:p>
            <w:pPr>
              <w:spacing w:line="240" w:lineRule="exact"/>
              <w:jc w:val="center"/>
              <w:rPr>
                <w:rFonts w:ascii="黑体" w:hAnsi="黑体" w:eastAsia="黑体" w:cs="黑体"/>
                <w:sz w:val="18"/>
                <w:szCs w:val="18"/>
              </w:rPr>
            </w:pPr>
            <w:r>
              <w:rPr>
                <w:rFonts w:hint="eastAsia" w:ascii="黑体" w:hAnsi="黑体" w:eastAsia="黑体" w:cs="黑体"/>
                <w:sz w:val="18"/>
                <w:szCs w:val="18"/>
              </w:rPr>
              <w:t>发明专利（标准）有效状态</w:t>
            </w:r>
          </w:p>
        </w:tc>
      </w:tr>
      <w:tr>
        <w:trPr>
          <w:trHeight w:val="476" w:hRule="atLeast"/>
          <w:jc w:val="center"/>
        </w:trPr>
        <w:tc>
          <w:tcPr>
            <w:tcW w:w="815" w:type="dxa"/>
            <w:vAlign w:val="center"/>
          </w:tcPr>
          <w:p>
            <w:pPr>
              <w:spacing w:line="400" w:lineRule="exact"/>
              <w:jc w:val="center"/>
              <w:rPr>
                <w:sz w:val="21"/>
                <w:szCs w:val="21"/>
              </w:rPr>
            </w:pPr>
            <w:r>
              <w:rPr>
                <w:rFonts w:hint="eastAsia"/>
                <w:sz w:val="21"/>
                <w:szCs w:val="21"/>
              </w:rPr>
              <w:t>1</w:t>
            </w:r>
          </w:p>
        </w:tc>
        <w:tc>
          <w:tcPr>
            <w:tcW w:w="1448" w:type="dxa"/>
            <w:vAlign w:val="center"/>
          </w:tcPr>
          <w:p>
            <w:pPr>
              <w:spacing w:line="240" w:lineRule="exact"/>
              <w:jc w:val="center"/>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一种预测心梗后不良事件的系统及试剂盒 </w:t>
            </w:r>
          </w:p>
        </w:tc>
        <w:tc>
          <w:tcPr>
            <w:tcW w:w="851" w:type="dxa"/>
            <w:vAlign w:val="center"/>
          </w:tcPr>
          <w:p>
            <w:pPr>
              <w:spacing w:line="240" w:lineRule="exact"/>
              <w:jc w:val="center"/>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ZL 201810053348.5</w:t>
            </w: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2019.2.22</w:t>
            </w:r>
          </w:p>
        </w:tc>
        <w:tc>
          <w:tcPr>
            <w:tcW w:w="1815" w:type="dxa"/>
            <w:gridSpan w:val="2"/>
            <w:vAlign w:val="center"/>
          </w:tcPr>
          <w:p>
            <w:pPr>
              <w:spacing w:line="240" w:lineRule="exact"/>
              <w:rPr>
                <w:rFonts w:hint="default"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3262591</w:t>
            </w:r>
          </w:p>
        </w:tc>
        <w:tc>
          <w:tcPr>
            <w:tcW w:w="1538" w:type="dxa"/>
            <w:vAlign w:val="center"/>
          </w:tcPr>
          <w:p>
            <w:pPr>
              <w:spacing w:line="240" w:lineRule="exact"/>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bidi="ar"/>
              </w:rPr>
              <w:t>中国医学科学院阜外医院</w:t>
            </w:r>
          </w:p>
        </w:tc>
        <w:tc>
          <w:tcPr>
            <w:tcW w:w="1325"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唐熠达; 王文尧; 田间; 祁雨;</w:t>
            </w:r>
          </w:p>
        </w:tc>
        <w:tc>
          <w:tcPr>
            <w:tcW w:w="1483" w:type="dxa"/>
            <w:vAlign w:val="center"/>
          </w:tcPr>
          <w:p>
            <w:pPr>
              <w:spacing w:line="240" w:lineRule="exact"/>
              <w:jc w:val="center"/>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spacing w:line="400" w:lineRule="exact"/>
              <w:jc w:val="center"/>
              <w:rPr>
                <w:sz w:val="21"/>
                <w:szCs w:val="21"/>
              </w:rPr>
            </w:pPr>
            <w:r>
              <w:rPr>
                <w:rFonts w:hint="eastAsia"/>
                <w:sz w:val="21"/>
                <w:szCs w:val="21"/>
              </w:rPr>
              <w:t>2</w:t>
            </w:r>
          </w:p>
        </w:tc>
        <w:tc>
          <w:tcPr>
            <w:tcW w:w="1448"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用于保护缺血心肌的注射剂及其制备方法 </w:t>
            </w:r>
          </w:p>
        </w:tc>
        <w:tc>
          <w:tcPr>
            <w:tcW w:w="851"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jc w:val="both"/>
              <w:rPr>
                <w:rFonts w:hint="eastAsia" w:cs="Times New Roman"/>
                <w:color w:val="000000"/>
                <w:spacing w:val="2"/>
                <w:sz w:val="21"/>
                <w:szCs w:val="21"/>
                <w:lang w:bidi="ar"/>
              </w:rPr>
            </w:pPr>
            <w:r>
              <w:rPr>
                <w:rFonts w:hint="eastAsia" w:cs="Times New Roman"/>
                <w:color w:val="000000"/>
                <w:spacing w:val="2"/>
                <w:sz w:val="21"/>
                <w:szCs w:val="21"/>
                <w:lang w:bidi="ar"/>
              </w:rPr>
              <w:t>ZL 202010625209.2</w:t>
            </w: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2023.03.21</w:t>
            </w:r>
          </w:p>
        </w:tc>
        <w:tc>
          <w:tcPr>
            <w:tcW w:w="1815" w:type="dxa"/>
            <w:gridSpan w:val="2"/>
            <w:vAlign w:val="center"/>
          </w:tcPr>
          <w:p>
            <w:pPr>
              <w:spacing w:line="240" w:lineRule="exact"/>
              <w:jc w:val="both"/>
              <w:rPr>
                <w:rFonts w:hint="default" w:ascii="Times New Roman" w:hAnsi="Times New Roman" w:eastAsia="仿宋_GB2312" w:cs="Times New Roman"/>
                <w:color w:val="000000"/>
                <w:spacing w:val="2"/>
                <w:kern w:val="2"/>
                <w:sz w:val="21"/>
                <w:szCs w:val="21"/>
                <w:lang w:val="en-US" w:eastAsia="zh-CN" w:bidi="ar"/>
              </w:rPr>
            </w:pPr>
            <w:r>
              <w:rPr>
                <w:rFonts w:hint="eastAsia" w:cs="Times New Roman"/>
                <w:color w:val="000000"/>
                <w:spacing w:val="2"/>
                <w:sz w:val="21"/>
                <w:szCs w:val="21"/>
                <w:lang w:val="en-US" w:eastAsia="zh-CN" w:bidi="ar"/>
              </w:rPr>
              <w:t>5794786</w:t>
            </w:r>
          </w:p>
        </w:tc>
        <w:tc>
          <w:tcPr>
            <w:tcW w:w="1538"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中国医学科学院阜外医院</w:t>
            </w:r>
          </w:p>
        </w:tc>
        <w:tc>
          <w:tcPr>
            <w:tcW w:w="1325"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val="en-US" w:eastAsia="zh-CN" w:bidi="ar"/>
              </w:rPr>
              <w:t>唐熠达</w:t>
            </w:r>
          </w:p>
        </w:tc>
        <w:tc>
          <w:tcPr>
            <w:tcW w:w="1483" w:type="dxa"/>
            <w:vAlign w:val="center"/>
          </w:tcPr>
          <w:p>
            <w:pPr>
              <w:spacing w:line="240" w:lineRule="exact"/>
              <w:jc w:val="center"/>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spacing w:line="400" w:lineRule="exact"/>
              <w:jc w:val="center"/>
              <w:rPr>
                <w:sz w:val="21"/>
                <w:szCs w:val="21"/>
              </w:rPr>
            </w:pPr>
            <w:r>
              <w:rPr>
                <w:rFonts w:hint="eastAsia"/>
                <w:sz w:val="21"/>
                <w:szCs w:val="21"/>
              </w:rPr>
              <w:t>3</w:t>
            </w:r>
          </w:p>
        </w:tc>
        <w:tc>
          <w:tcPr>
            <w:tcW w:w="1448"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一种基于大语言模型的患者健康监测和干预系统</w:t>
            </w:r>
          </w:p>
        </w:tc>
        <w:tc>
          <w:tcPr>
            <w:tcW w:w="851"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ZL 202410348447.1</w:t>
            </w:r>
          </w:p>
          <w:p>
            <w:pPr>
              <w:spacing w:line="240" w:lineRule="exact"/>
              <w:ind w:firstLine="428" w:firstLineChars="200"/>
              <w:rPr>
                <w:rFonts w:hint="eastAsia" w:cs="Times New Roman"/>
                <w:color w:val="000000"/>
                <w:spacing w:val="2"/>
                <w:sz w:val="21"/>
                <w:szCs w:val="21"/>
                <w:lang w:bidi="ar"/>
              </w:rPr>
            </w:pP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2024.07.09</w:t>
            </w:r>
          </w:p>
          <w:p>
            <w:pPr>
              <w:spacing w:line="240" w:lineRule="exact"/>
              <w:ind w:firstLine="657" w:firstLineChars="0"/>
              <w:rPr>
                <w:rFonts w:hint="eastAsia" w:cs="Times New Roman"/>
                <w:color w:val="000000"/>
                <w:spacing w:val="2"/>
                <w:sz w:val="21"/>
                <w:szCs w:val="21"/>
                <w:lang w:bidi="ar"/>
              </w:rPr>
            </w:pPr>
          </w:p>
        </w:tc>
        <w:tc>
          <w:tcPr>
            <w:tcW w:w="1815" w:type="dxa"/>
            <w:gridSpan w:val="2"/>
            <w:vAlign w:val="center"/>
          </w:tcPr>
          <w:p>
            <w:pPr>
              <w:spacing w:line="240" w:lineRule="exact"/>
              <w:rPr>
                <w:rFonts w:hint="default" w:ascii="Times New Roman" w:hAnsi="Times New Roman" w:eastAsia="仿宋_GB2312" w:cs="Times New Roman"/>
                <w:color w:val="000000"/>
                <w:spacing w:val="2"/>
                <w:kern w:val="2"/>
                <w:sz w:val="21"/>
                <w:szCs w:val="21"/>
                <w:lang w:val="en-US" w:eastAsia="zh-CN" w:bidi="ar"/>
              </w:rPr>
            </w:pPr>
            <w:r>
              <w:rPr>
                <w:rFonts w:hint="eastAsia" w:cs="Times New Roman"/>
                <w:color w:val="000000"/>
                <w:spacing w:val="2"/>
                <w:sz w:val="21"/>
                <w:szCs w:val="21"/>
                <w:lang w:val="en-US" w:eastAsia="zh-CN" w:bidi="ar"/>
              </w:rPr>
              <w:t>7179726</w:t>
            </w:r>
          </w:p>
        </w:tc>
        <w:tc>
          <w:tcPr>
            <w:tcW w:w="1538"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北京大学第三医院</w:t>
            </w:r>
          </w:p>
        </w:tc>
        <w:tc>
          <w:tcPr>
            <w:tcW w:w="1325" w:type="dxa"/>
            <w:vAlign w:val="center"/>
          </w:tcPr>
          <w:p>
            <w:pPr>
              <w:spacing w:line="240" w:lineRule="exact"/>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bidi="ar"/>
              </w:rPr>
              <w:t>唐熠达;孟祥彬;吉嘉铭;王文尧;钱成;杨耀东;王旭梁；戴俊韬;徐骅;邵春丽;汪京嘉;高峻</w:t>
            </w:r>
          </w:p>
        </w:tc>
        <w:tc>
          <w:tcPr>
            <w:tcW w:w="1483" w:type="dxa"/>
            <w:vAlign w:val="center"/>
          </w:tcPr>
          <w:p>
            <w:pPr>
              <w:spacing w:line="240" w:lineRule="exact"/>
              <w:ind w:firstLine="428" w:firstLineChars="200"/>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spacing w:line="400" w:lineRule="exact"/>
              <w:jc w:val="center"/>
              <w:rPr>
                <w:rFonts w:hint="eastAsia" w:eastAsia="仿宋_GB2312"/>
                <w:sz w:val="21"/>
                <w:szCs w:val="21"/>
                <w:lang w:val="en-US" w:eastAsia="zh-CN"/>
              </w:rPr>
            </w:pPr>
            <w:r>
              <w:rPr>
                <w:rFonts w:hint="eastAsia"/>
                <w:sz w:val="21"/>
                <w:szCs w:val="21"/>
                <w:lang w:val="en-US" w:eastAsia="zh-CN"/>
              </w:rPr>
              <w:t>4</w:t>
            </w:r>
          </w:p>
        </w:tc>
        <w:tc>
          <w:tcPr>
            <w:tcW w:w="1448"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一种基于多模态大语言模型的就诊分诊系统</w:t>
            </w:r>
          </w:p>
        </w:tc>
        <w:tc>
          <w:tcPr>
            <w:tcW w:w="851" w:type="dxa"/>
            <w:vAlign w:val="center"/>
          </w:tcPr>
          <w:p>
            <w:pPr>
              <w:spacing w:line="240" w:lineRule="exact"/>
              <w:jc w:val="center"/>
              <w:rPr>
                <w:rFonts w:hint="eastAsia" w:cs="Times New Roman"/>
                <w:color w:val="000000"/>
                <w:spacing w:val="2"/>
                <w:sz w:val="21"/>
                <w:szCs w:val="21"/>
                <w:lang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ZL 202410348447.1</w:t>
            </w: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2024.07.09</w:t>
            </w:r>
          </w:p>
        </w:tc>
        <w:tc>
          <w:tcPr>
            <w:tcW w:w="1815" w:type="dxa"/>
            <w:gridSpan w:val="2"/>
            <w:vAlign w:val="center"/>
          </w:tcPr>
          <w:p>
            <w:pPr>
              <w:spacing w:line="240" w:lineRule="exact"/>
              <w:rPr>
                <w:rFonts w:hint="default"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7185915</w:t>
            </w:r>
          </w:p>
        </w:tc>
        <w:tc>
          <w:tcPr>
            <w:tcW w:w="1538"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北京大学第三医院</w:t>
            </w:r>
          </w:p>
        </w:tc>
        <w:tc>
          <w:tcPr>
            <w:tcW w:w="1325"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唐熠达 、孟祥彬、王文尧、 杨耀东 、徐骅、戴俊韬、吉嘉铭、邵春丽、汪京嘉、高峻、王旭梁</w:t>
            </w:r>
          </w:p>
        </w:tc>
        <w:tc>
          <w:tcPr>
            <w:tcW w:w="1483" w:type="dxa"/>
            <w:vAlign w:val="center"/>
          </w:tcPr>
          <w:p>
            <w:pPr>
              <w:spacing w:line="240" w:lineRule="exact"/>
              <w:ind w:firstLine="428" w:firstLineChars="200"/>
              <w:rPr>
                <w:rFonts w:hint="eastAsia"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spacing w:line="400" w:lineRule="exact"/>
              <w:jc w:val="center"/>
              <w:rPr>
                <w:rFonts w:hint="default" w:eastAsia="仿宋_GB2312"/>
                <w:sz w:val="21"/>
                <w:szCs w:val="21"/>
                <w:lang w:val="en-US" w:eastAsia="zh-CN"/>
              </w:rPr>
            </w:pPr>
            <w:r>
              <w:rPr>
                <w:rFonts w:hint="eastAsia"/>
                <w:sz w:val="21"/>
                <w:szCs w:val="21"/>
                <w:lang w:val="en-US" w:eastAsia="zh-CN"/>
              </w:rPr>
              <w:t>5</w:t>
            </w:r>
          </w:p>
        </w:tc>
        <w:tc>
          <w:tcPr>
            <w:tcW w:w="1448" w:type="dxa"/>
            <w:vAlign w:val="center"/>
          </w:tcPr>
          <w:p>
            <w:pPr>
              <w:spacing w:line="240" w:lineRule="exact"/>
              <w:jc w:val="center"/>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一种用于多模态大语言模型的医疗数据加密系统</w:t>
            </w:r>
          </w:p>
        </w:tc>
        <w:tc>
          <w:tcPr>
            <w:tcW w:w="851" w:type="dxa"/>
            <w:vAlign w:val="center"/>
          </w:tcPr>
          <w:p>
            <w:pPr>
              <w:spacing w:line="240" w:lineRule="exact"/>
              <w:jc w:val="center"/>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ZL 202410348491.2</w:t>
            </w: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2024.07.12</w:t>
            </w:r>
          </w:p>
        </w:tc>
        <w:tc>
          <w:tcPr>
            <w:tcW w:w="1815"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7243201</w:t>
            </w:r>
          </w:p>
        </w:tc>
        <w:tc>
          <w:tcPr>
            <w:tcW w:w="1538"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北京大学第三医院</w:t>
            </w:r>
          </w:p>
        </w:tc>
        <w:tc>
          <w:tcPr>
            <w:tcW w:w="1325"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唐熠达; 杨耀东; 戴俊韬; 吉嘉铭; 高峻; 孟祥彬; 王文尧; 徐骅; 邵春丽; 汪京嘉; 王旭梁</w:t>
            </w:r>
          </w:p>
        </w:tc>
        <w:tc>
          <w:tcPr>
            <w:tcW w:w="1483" w:type="dxa"/>
            <w:vAlign w:val="center"/>
          </w:tcPr>
          <w:p>
            <w:pPr>
              <w:spacing w:line="240" w:lineRule="exact"/>
              <w:ind w:firstLine="428" w:firstLineChars="200"/>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spacing w:line="400" w:lineRule="exact"/>
              <w:jc w:val="center"/>
              <w:rPr>
                <w:rFonts w:hint="default"/>
                <w:sz w:val="21"/>
                <w:szCs w:val="21"/>
                <w:lang w:val="en-US" w:eastAsia="zh-CN"/>
              </w:rPr>
            </w:pPr>
            <w:r>
              <w:rPr>
                <w:rFonts w:hint="eastAsia"/>
                <w:sz w:val="21"/>
                <w:szCs w:val="21"/>
                <w:lang w:val="en-US" w:eastAsia="zh-CN"/>
              </w:rPr>
              <w:t>6</w:t>
            </w:r>
          </w:p>
        </w:tc>
        <w:tc>
          <w:tcPr>
            <w:tcW w:w="1448" w:type="dxa"/>
            <w:vAlign w:val="center"/>
          </w:tcPr>
          <w:p>
            <w:pPr>
              <w:spacing w:line="240" w:lineRule="exact"/>
              <w:jc w:val="center"/>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发明专利</w:t>
            </w:r>
          </w:p>
        </w:tc>
        <w:tc>
          <w:tcPr>
            <w:tcW w:w="1687"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一种溶栓后出血风险的预测系统 </w:t>
            </w:r>
          </w:p>
        </w:tc>
        <w:tc>
          <w:tcPr>
            <w:tcW w:w="851" w:type="dxa"/>
            <w:vAlign w:val="center"/>
          </w:tcPr>
          <w:p>
            <w:pPr>
              <w:spacing w:line="240" w:lineRule="exact"/>
              <w:jc w:val="center"/>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中国</w:t>
            </w:r>
          </w:p>
        </w:tc>
        <w:tc>
          <w:tcPr>
            <w:tcW w:w="1174"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ZL 201711378487.7</w:t>
            </w:r>
          </w:p>
        </w:tc>
        <w:tc>
          <w:tcPr>
            <w:tcW w:w="1470" w:type="dxa"/>
            <w:gridSpan w:val="2"/>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2019.3.12</w:t>
            </w:r>
          </w:p>
        </w:tc>
        <w:tc>
          <w:tcPr>
            <w:tcW w:w="1815" w:type="dxa"/>
            <w:gridSpan w:val="2"/>
            <w:vAlign w:val="center"/>
          </w:tcPr>
          <w:p>
            <w:pPr>
              <w:spacing w:line="240" w:lineRule="exact"/>
              <w:rPr>
                <w:rFonts w:hint="default" w:eastAsia="仿宋_GB2312" w:cs="Times New Roman"/>
                <w:color w:val="000000"/>
                <w:spacing w:val="2"/>
                <w:sz w:val="21"/>
                <w:szCs w:val="21"/>
                <w:lang w:val="en-US" w:eastAsia="zh-CN" w:bidi="ar"/>
              </w:rPr>
            </w:pPr>
            <w:r>
              <w:rPr>
                <w:rFonts w:hint="eastAsia" w:cs="Times New Roman"/>
                <w:color w:val="000000"/>
                <w:spacing w:val="2"/>
                <w:sz w:val="21"/>
                <w:szCs w:val="21"/>
                <w:lang w:val="en-US" w:eastAsia="zh-CN" w:bidi="ar"/>
              </w:rPr>
              <w:t>3288663</w:t>
            </w:r>
          </w:p>
        </w:tc>
        <w:tc>
          <w:tcPr>
            <w:tcW w:w="1538"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中国医学科学院阜外医院</w:t>
            </w:r>
          </w:p>
        </w:tc>
        <w:tc>
          <w:tcPr>
            <w:tcW w:w="1325" w:type="dxa"/>
            <w:vAlign w:val="center"/>
          </w:tcPr>
          <w:p>
            <w:pPr>
              <w:spacing w:line="240" w:lineRule="exact"/>
              <w:rPr>
                <w:rFonts w:hint="eastAsia" w:cs="Times New Roman"/>
                <w:color w:val="000000"/>
                <w:spacing w:val="2"/>
                <w:sz w:val="21"/>
                <w:szCs w:val="21"/>
                <w:lang w:bidi="ar"/>
              </w:rPr>
            </w:pPr>
            <w:r>
              <w:rPr>
                <w:rFonts w:hint="eastAsia" w:cs="Times New Roman"/>
                <w:color w:val="000000"/>
                <w:spacing w:val="2"/>
                <w:sz w:val="21"/>
                <w:szCs w:val="21"/>
                <w:lang w:bidi="ar"/>
              </w:rPr>
              <w:t>唐熠达; 田间; 王文尧; 尤世杰; 尤宏钊;</w:t>
            </w:r>
          </w:p>
        </w:tc>
        <w:tc>
          <w:tcPr>
            <w:tcW w:w="1483" w:type="dxa"/>
            <w:vAlign w:val="center"/>
          </w:tcPr>
          <w:p>
            <w:pPr>
              <w:spacing w:line="240" w:lineRule="exact"/>
              <w:ind w:firstLine="428" w:firstLineChars="200"/>
              <w:rPr>
                <w:rFonts w:hint="default" w:cs="Times New Roman"/>
                <w:color w:val="000000"/>
                <w:spacing w:val="2"/>
                <w:sz w:val="21"/>
                <w:szCs w:val="21"/>
                <w:lang w:val="en-US" w:eastAsia="zh-CN" w:bidi="ar"/>
              </w:rPr>
            </w:pPr>
            <w:r>
              <w:rPr>
                <w:rFonts w:hint="eastAsia" w:cs="Times New Roman"/>
                <w:color w:val="000000"/>
                <w:spacing w:val="2"/>
                <w:sz w:val="21"/>
                <w:szCs w:val="21"/>
                <w:lang w:val="en-US" w:eastAsia="zh-CN" w:bidi="ar"/>
              </w:rPr>
              <w:t>授权</w:t>
            </w:r>
          </w:p>
        </w:tc>
      </w:tr>
      <w:tr>
        <w:trPr>
          <w:trHeight w:val="476" w:hRule="atLeast"/>
          <w:jc w:val="center"/>
        </w:trPr>
        <w:tc>
          <w:tcPr>
            <w:tcW w:w="815" w:type="dxa"/>
            <w:vAlign w:val="center"/>
          </w:tcPr>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序号</w:t>
            </w:r>
          </w:p>
        </w:tc>
        <w:tc>
          <w:tcPr>
            <w:tcW w:w="1448" w:type="dxa"/>
            <w:vAlign w:val="center"/>
          </w:tcPr>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论文（专著）名称/刊名/作者</w:t>
            </w:r>
          </w:p>
        </w:tc>
        <w:tc>
          <w:tcPr>
            <w:tcW w:w="1687" w:type="dxa"/>
            <w:vAlign w:val="center"/>
          </w:tcPr>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年卷页码</w:t>
            </w:r>
          </w:p>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（xx年xx卷xx页）</w:t>
            </w:r>
          </w:p>
        </w:tc>
        <w:tc>
          <w:tcPr>
            <w:tcW w:w="851" w:type="dxa"/>
            <w:vAlign w:val="center"/>
          </w:tcPr>
          <w:p>
            <w:pPr>
              <w:pStyle w:val="7"/>
              <w:widowControl w:val="0"/>
              <w:adjustRightInd w:val="0"/>
              <w:spacing w:line="240" w:lineRule="exact"/>
              <w:jc w:val="center"/>
              <w:rPr>
                <w:rFonts w:ascii="黑体" w:hAnsi="黑体" w:eastAsia="黑体" w:cs="黑体"/>
                <w:color w:val="000000"/>
                <w:sz w:val="18"/>
                <w:szCs w:val="18"/>
                <w:lang w:bidi="ar"/>
              </w:rPr>
            </w:pPr>
            <w:r>
              <w:rPr>
                <w:rFonts w:hint="eastAsia" w:ascii="黑体" w:hAnsi="黑体" w:eastAsia="黑体" w:cs="黑体"/>
                <w:color w:val="000000"/>
                <w:sz w:val="18"/>
                <w:szCs w:val="18"/>
                <w:lang w:bidi="ar"/>
              </w:rPr>
              <w:t>发表时间</w:t>
            </w:r>
          </w:p>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 年 月 日）</w:t>
            </w:r>
          </w:p>
        </w:tc>
        <w:tc>
          <w:tcPr>
            <w:tcW w:w="1174" w:type="dxa"/>
            <w:vAlign w:val="center"/>
          </w:tcPr>
          <w:p>
            <w:pPr>
              <w:pStyle w:val="7"/>
              <w:widowControl w:val="0"/>
              <w:adjustRightInd w:val="0"/>
              <w:spacing w:line="240" w:lineRule="exact"/>
              <w:jc w:val="center"/>
              <w:rPr>
                <w:rFonts w:ascii="黑体" w:hAnsi="黑体" w:eastAsia="黑体" w:cs="黑体"/>
                <w:color w:val="000000"/>
                <w:sz w:val="18"/>
                <w:szCs w:val="18"/>
                <w:lang w:bidi="ar"/>
              </w:rPr>
            </w:pPr>
            <w:r>
              <w:rPr>
                <w:rFonts w:hint="eastAsia" w:ascii="黑体" w:hAnsi="黑体" w:eastAsia="黑体" w:cs="黑体"/>
                <w:color w:val="000000"/>
                <w:sz w:val="18"/>
                <w:szCs w:val="18"/>
                <w:lang w:bidi="ar"/>
              </w:rPr>
              <w:t>通讯作者</w:t>
            </w:r>
          </w:p>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（含共同）</w:t>
            </w:r>
          </w:p>
        </w:tc>
        <w:tc>
          <w:tcPr>
            <w:tcW w:w="1470" w:type="dxa"/>
            <w:gridSpan w:val="2"/>
            <w:vAlign w:val="center"/>
          </w:tcPr>
          <w:p>
            <w:pPr>
              <w:pStyle w:val="7"/>
              <w:widowControl w:val="0"/>
              <w:adjustRightInd w:val="0"/>
              <w:spacing w:line="240" w:lineRule="exact"/>
              <w:jc w:val="center"/>
              <w:rPr>
                <w:rFonts w:ascii="黑体" w:hAnsi="黑体" w:eastAsia="黑体" w:cs="黑体"/>
                <w:color w:val="000000"/>
                <w:sz w:val="18"/>
                <w:szCs w:val="18"/>
                <w:lang w:bidi="ar"/>
              </w:rPr>
            </w:pPr>
            <w:r>
              <w:rPr>
                <w:rFonts w:hint="eastAsia" w:ascii="黑体" w:hAnsi="黑体" w:eastAsia="黑体" w:cs="黑体"/>
                <w:color w:val="000000"/>
                <w:sz w:val="18"/>
                <w:szCs w:val="18"/>
                <w:lang w:bidi="ar"/>
              </w:rPr>
              <w:t>第一作者</w:t>
            </w:r>
          </w:p>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（含共同）</w:t>
            </w:r>
          </w:p>
        </w:tc>
        <w:tc>
          <w:tcPr>
            <w:tcW w:w="1815" w:type="dxa"/>
            <w:gridSpan w:val="2"/>
            <w:vAlign w:val="center"/>
          </w:tcPr>
          <w:p>
            <w:pPr>
              <w:pStyle w:val="7"/>
              <w:widowControl w:val="0"/>
              <w:adjustRightInd w:val="0"/>
              <w:spacing w:line="240" w:lineRule="exact"/>
              <w:jc w:val="center"/>
              <w:rPr>
                <w:rFonts w:ascii="黑体" w:hAnsi="黑体" w:eastAsia="黑体" w:cs="黑体"/>
                <w:color w:val="000000"/>
                <w:sz w:val="18"/>
                <w:szCs w:val="18"/>
              </w:rPr>
            </w:pPr>
            <w:r>
              <w:rPr>
                <w:rFonts w:hint="eastAsia" w:ascii="黑体" w:hAnsi="黑体" w:eastAsia="黑体" w:cs="黑体"/>
                <w:color w:val="000000"/>
                <w:sz w:val="18"/>
                <w:szCs w:val="18"/>
                <w:lang w:bidi="ar"/>
              </w:rPr>
              <w:t>国内作者</w:t>
            </w:r>
          </w:p>
        </w:tc>
        <w:tc>
          <w:tcPr>
            <w:tcW w:w="1538" w:type="dxa"/>
            <w:vAlign w:val="center"/>
          </w:tcPr>
          <w:p>
            <w:pPr>
              <w:pStyle w:val="7"/>
              <w:widowControl w:val="0"/>
              <w:adjustRightInd w:val="0"/>
              <w:spacing w:line="240" w:lineRule="exact"/>
              <w:jc w:val="center"/>
              <w:rPr>
                <w:rFonts w:ascii="黑体" w:hAnsi="黑体" w:eastAsia="黑体" w:cs="黑体"/>
                <w:color w:val="000000"/>
                <w:sz w:val="18"/>
                <w:szCs w:val="18"/>
              </w:rPr>
            </w:pPr>
          </w:p>
        </w:tc>
        <w:tc>
          <w:tcPr>
            <w:tcW w:w="1325" w:type="dxa"/>
            <w:vAlign w:val="center"/>
          </w:tcPr>
          <w:p>
            <w:pPr>
              <w:pStyle w:val="7"/>
              <w:widowControl w:val="0"/>
              <w:adjustRightInd w:val="0"/>
              <w:spacing w:line="240" w:lineRule="exact"/>
              <w:jc w:val="center"/>
              <w:rPr>
                <w:rFonts w:ascii="黑体" w:hAnsi="黑体" w:eastAsia="黑体" w:cs="黑体"/>
                <w:color w:val="000000"/>
                <w:sz w:val="18"/>
                <w:szCs w:val="18"/>
              </w:rPr>
            </w:pPr>
          </w:p>
        </w:tc>
        <w:tc>
          <w:tcPr>
            <w:tcW w:w="1483" w:type="dxa"/>
            <w:vAlign w:val="center"/>
          </w:tcPr>
          <w:p>
            <w:pPr>
              <w:pStyle w:val="7"/>
              <w:widowControl w:val="0"/>
              <w:adjustRightInd w:val="0"/>
              <w:spacing w:line="240" w:lineRule="exact"/>
              <w:jc w:val="center"/>
              <w:rPr>
                <w:rFonts w:ascii="黑体" w:hAnsi="黑体" w:eastAsia="黑体" w:cs="黑体"/>
                <w:color w:val="000000"/>
                <w:sz w:val="18"/>
                <w:szCs w:val="18"/>
              </w:rPr>
            </w:pPr>
          </w:p>
        </w:tc>
      </w:tr>
      <w:tr>
        <w:trPr>
          <w:trHeight w:val="476" w:hRule="atLeast"/>
          <w:jc w:val="center"/>
        </w:trPr>
        <w:tc>
          <w:tcPr>
            <w:tcW w:w="815" w:type="dxa"/>
            <w:vAlign w:val="center"/>
          </w:tcPr>
          <w:p>
            <w:pPr>
              <w:spacing w:line="400" w:lineRule="exact"/>
              <w:jc w:val="center"/>
              <w:rPr>
                <w:rFonts w:hint="default"/>
                <w:sz w:val="21"/>
                <w:szCs w:val="21"/>
                <w:lang w:val="en-US" w:eastAsia="zh-CN"/>
              </w:rPr>
            </w:pPr>
            <w:r>
              <w:rPr>
                <w:rFonts w:hint="eastAsia"/>
                <w:sz w:val="21"/>
                <w:szCs w:val="21"/>
                <w:lang w:val="en-US" w:eastAsia="zh-CN"/>
              </w:rPr>
              <w:t>7</w:t>
            </w:r>
          </w:p>
        </w:tc>
        <w:tc>
          <w:tcPr>
            <w:tcW w:w="1448" w:type="dxa"/>
            <w:vAlign w:val="center"/>
          </w:tcPr>
          <w:p>
            <w:pPr>
              <w:pStyle w:val="4"/>
              <w:spacing w:line="240" w:lineRule="exact"/>
              <w:ind w:firstLine="0" w:firstLineChars="0"/>
              <w:jc w:val="center"/>
              <w:rPr>
                <w:rFonts w:hint="default" w:ascii="Times New Roman Regular" w:hAnsi="Times New Roman Regular" w:eastAsia="仿宋" w:cs="Times New Roman Regular"/>
                <w:highlight w:val="none"/>
                <w:lang w:val="en-US" w:eastAsia="zh-CN"/>
              </w:rPr>
            </w:pPr>
            <w:r>
              <w:rPr>
                <w:rFonts w:hint="default" w:ascii="Times New Roman Regular" w:hAnsi="Times New Roman Regular" w:eastAsia="仿宋" w:cs="Times New Roman Regular"/>
                <w:highlight w:val="none"/>
              </w:rPr>
              <w:t>Low thyroid function leads to cardiac atrophy with chamber dilatation, impaired myocardial blood flow, loss of arterioles, and severe systolic dysfunction</w:t>
            </w:r>
            <w:r>
              <w:rPr>
                <w:rFonts w:hint="default" w:ascii="Times New Roman Regular" w:hAnsi="Times New Roman Regular" w:eastAsia="仿宋" w:cs="Times New Roman Regular"/>
                <w:highlight w:val="none"/>
                <w:lang w:val="en-US" w:eastAsia="zh-CN"/>
              </w:rPr>
              <w:t>/</w:t>
            </w:r>
            <w:r>
              <w:rPr>
                <w:rFonts w:hint="default" w:ascii="Times New Roman Bold" w:hAnsi="Times New Roman Bold" w:eastAsia="仿宋" w:cs="Times New Roman Bold"/>
                <w:b/>
                <w:bCs/>
                <w:highlight w:val="none"/>
                <w:lang w:val="en-US" w:eastAsia="zh-CN"/>
              </w:rPr>
              <w:t>Circulation</w:t>
            </w:r>
            <w:r>
              <w:rPr>
                <w:rFonts w:hint="default" w:ascii="Times New Roman Regular" w:hAnsi="Times New Roman Regular" w:eastAsia="仿宋" w:cs="Times New Roman Regular"/>
                <w:highlight w:val="none"/>
                <w:lang w:val="en-US" w:eastAsia="zh-CN"/>
              </w:rPr>
              <w:t>/唐熠达、James A. Kuzman、Suleman Said、Brent E. Anderson、Xuejun Wang、A. Martin Gerdes</w:t>
            </w:r>
          </w:p>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687" w:type="dxa"/>
            <w:vAlign w:val="center"/>
          </w:tcPr>
          <w:p>
            <w:pPr>
              <w:pStyle w:val="4"/>
              <w:spacing w:line="240" w:lineRule="exact"/>
              <w:ind w:firstLine="0" w:firstLineChars="0"/>
              <w:jc w:val="center"/>
              <w:rPr>
                <w:rFonts w:hint="default" w:ascii="Times New Roman Regular" w:hAnsi="Times New Roman Regular" w:eastAsia="仿宋" w:cs="Times New Roman Regular"/>
                <w:highlight w:val="none"/>
                <w:lang w:val="en-US" w:eastAsia="zh-CN"/>
              </w:rPr>
            </w:pPr>
            <w:r>
              <w:rPr>
                <w:rFonts w:hint="default" w:ascii="Times New Roman Regular" w:hAnsi="Times New Roman Regular" w:eastAsia="仿宋" w:cs="Times New Roman Regular"/>
                <w:highlight w:val="none"/>
                <w:lang w:val="en-US" w:eastAsia="zh-CN"/>
              </w:rPr>
              <w:t>2005</w:t>
            </w:r>
          </w:p>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112(20):3122-30.</w:t>
            </w:r>
          </w:p>
        </w:tc>
        <w:tc>
          <w:tcPr>
            <w:tcW w:w="851"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2005-11-15</w:t>
            </w:r>
          </w:p>
        </w:tc>
        <w:tc>
          <w:tcPr>
            <w:tcW w:w="1174"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A. Martin Gerdes</w:t>
            </w:r>
          </w:p>
        </w:tc>
        <w:tc>
          <w:tcPr>
            <w:tcW w:w="1470"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唐熠达</w:t>
            </w:r>
          </w:p>
        </w:tc>
        <w:tc>
          <w:tcPr>
            <w:tcW w:w="1815"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唐熠达</w:t>
            </w:r>
          </w:p>
        </w:tc>
        <w:tc>
          <w:tcPr>
            <w:tcW w:w="153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325"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483"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r>
      <w:tr>
        <w:trPr>
          <w:trHeight w:val="476" w:hRule="atLeast"/>
          <w:jc w:val="center"/>
        </w:trPr>
        <w:tc>
          <w:tcPr>
            <w:tcW w:w="815" w:type="dxa"/>
            <w:vAlign w:val="center"/>
          </w:tcPr>
          <w:p>
            <w:pPr>
              <w:spacing w:line="400" w:lineRule="exact"/>
              <w:jc w:val="center"/>
              <w:rPr>
                <w:rFonts w:hint="default"/>
                <w:sz w:val="21"/>
                <w:szCs w:val="21"/>
                <w:lang w:val="en-US" w:eastAsia="zh-CN"/>
              </w:rPr>
            </w:pPr>
            <w:r>
              <w:rPr>
                <w:rFonts w:hint="eastAsia"/>
                <w:sz w:val="21"/>
                <w:szCs w:val="21"/>
                <w:lang w:val="en-US" w:eastAsia="zh-CN"/>
              </w:rPr>
              <w:t>8</w:t>
            </w:r>
          </w:p>
        </w:tc>
        <w:tc>
          <w:tcPr>
            <w:tcW w:w="144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Thyrotropin aggravates atherosclerosis by promoting macrophage inflammation in plaques</w:t>
            </w:r>
            <w:r>
              <w:rPr>
                <w:rFonts w:hint="default" w:ascii="Times New Roman Regular" w:hAnsi="Times New Roman Regular" w:eastAsia="仿宋" w:cs="Times New Roman Regular"/>
                <w:highlight w:val="none"/>
                <w:lang w:val="en-US" w:eastAsia="zh-CN"/>
              </w:rPr>
              <w:t>/</w:t>
            </w:r>
            <w:r>
              <w:rPr>
                <w:rFonts w:hint="default" w:ascii="Times New Roman Bold" w:hAnsi="Times New Roman Bold" w:eastAsia="仿宋" w:cs="Times New Roman Bold"/>
                <w:b/>
                <w:bCs/>
                <w:highlight w:val="none"/>
                <w:lang w:val="en-US" w:eastAsia="zh-CN"/>
              </w:rPr>
              <w:t>The Journal of Experimental Medicine</w:t>
            </w:r>
            <w:r>
              <w:rPr>
                <w:rFonts w:hint="default" w:ascii="Times New Roman Regular" w:hAnsi="Times New Roman Regular" w:eastAsia="仿宋" w:cs="Times New Roman Regular"/>
                <w:highlight w:val="none"/>
                <w:lang w:val="en-US" w:eastAsia="zh-CN"/>
              </w:rPr>
              <w:t>/杨重博、逯铭、陈文斌、何钊、侯旭、冯梅、张红霞、薄涛、周小明、于泳、张海清、赵萌、王来成、于春晓、高聆、姜文健、张群业、赵家军</w:t>
            </w:r>
          </w:p>
        </w:tc>
        <w:tc>
          <w:tcPr>
            <w:tcW w:w="1687" w:type="dxa"/>
            <w:vAlign w:val="center"/>
          </w:tcPr>
          <w:p>
            <w:pPr>
              <w:pStyle w:val="4"/>
              <w:spacing w:line="240" w:lineRule="exact"/>
              <w:ind w:firstLine="0" w:firstLineChars="0"/>
              <w:jc w:val="center"/>
              <w:rPr>
                <w:rFonts w:hint="default" w:ascii="Times New Roman Regular" w:hAnsi="Times New Roman Regular" w:eastAsia="仿宋" w:cs="Times New Roman Regular"/>
                <w:highlight w:val="none"/>
                <w:lang w:val="en-US" w:eastAsia="zh-CN"/>
              </w:rPr>
            </w:pPr>
            <w:r>
              <w:rPr>
                <w:rFonts w:hint="default" w:ascii="Times New Roman Regular" w:hAnsi="Times New Roman Regular" w:eastAsia="仿宋" w:cs="Times New Roman Regular"/>
                <w:highlight w:val="none"/>
                <w:lang w:val="en-US" w:eastAsia="zh-CN"/>
              </w:rPr>
              <w:t>2019</w:t>
            </w:r>
          </w:p>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216(5):1182-1198</w:t>
            </w:r>
          </w:p>
        </w:tc>
        <w:tc>
          <w:tcPr>
            <w:tcW w:w="851"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2019-04-02</w:t>
            </w:r>
          </w:p>
        </w:tc>
        <w:tc>
          <w:tcPr>
            <w:tcW w:w="1174"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赵家军、张群业</w:t>
            </w:r>
          </w:p>
        </w:tc>
        <w:tc>
          <w:tcPr>
            <w:tcW w:w="1470"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杨重博、逯铭</w:t>
            </w:r>
          </w:p>
        </w:tc>
        <w:tc>
          <w:tcPr>
            <w:tcW w:w="1815"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yellow"/>
                <w:lang w:val="en-US" w:eastAsia="zh-CN" w:bidi="ar-SA"/>
              </w:rPr>
            </w:pPr>
            <w:r>
              <w:rPr>
                <w:rFonts w:hint="default" w:ascii="Times New Roman Regular" w:hAnsi="Times New Roman Regular" w:eastAsia="仿宋" w:cs="Times New Roman Regular"/>
                <w:highlight w:val="none"/>
                <w:lang w:val="en-US" w:eastAsia="zh-CN"/>
              </w:rPr>
              <w:t>杨重博、逯铭、陈文斌、何钊、侯旭、冯梅、张红霞、薄涛、周小明、于泳、张海清、赵萌、王来成、于春晓、高聆、姜文健、张群业、赵家军</w:t>
            </w:r>
          </w:p>
        </w:tc>
        <w:tc>
          <w:tcPr>
            <w:tcW w:w="153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yellow"/>
                <w:lang w:val="en-US" w:eastAsia="zh-CN" w:bidi="ar-SA"/>
              </w:rPr>
            </w:pPr>
          </w:p>
        </w:tc>
        <w:tc>
          <w:tcPr>
            <w:tcW w:w="1325"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483"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r>
      <w:tr>
        <w:trPr>
          <w:trHeight w:val="476" w:hRule="atLeast"/>
          <w:jc w:val="center"/>
        </w:trPr>
        <w:tc>
          <w:tcPr>
            <w:tcW w:w="815" w:type="dxa"/>
            <w:vAlign w:val="center"/>
          </w:tcPr>
          <w:p>
            <w:pPr>
              <w:spacing w:line="400" w:lineRule="exact"/>
              <w:jc w:val="center"/>
              <w:rPr>
                <w:rFonts w:hint="default"/>
                <w:sz w:val="21"/>
                <w:szCs w:val="21"/>
                <w:lang w:val="en-US" w:eastAsia="zh-CN"/>
              </w:rPr>
            </w:pPr>
            <w:r>
              <w:rPr>
                <w:rFonts w:hint="eastAsia"/>
                <w:sz w:val="21"/>
                <w:szCs w:val="21"/>
                <w:lang w:val="en-US" w:eastAsia="zh-CN"/>
              </w:rPr>
              <w:t>9</w:t>
            </w:r>
          </w:p>
        </w:tc>
        <w:tc>
          <w:tcPr>
            <w:tcW w:w="144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Hepatocyte DUSP14 maintains metabolic homeostasis and suppresses inflammation in the liver</w:t>
            </w:r>
            <w:r>
              <w:rPr>
                <w:rFonts w:hint="default" w:ascii="Times New Roman Regular" w:hAnsi="Times New Roman Regular" w:eastAsia="仿宋" w:cs="Times New Roman Regular"/>
                <w:highlight w:val="none"/>
                <w:lang w:val="en-US" w:eastAsia="zh-CN"/>
              </w:rPr>
              <w:t>/</w:t>
            </w:r>
            <w:r>
              <w:rPr>
                <w:rFonts w:hint="default" w:ascii="Times New Roman Bold" w:hAnsi="Times New Roman Bold" w:eastAsia="仿宋" w:cs="Times New Roman Bold"/>
                <w:b/>
                <w:bCs/>
                <w:highlight w:val="none"/>
                <w:lang w:val="en-US" w:eastAsia="zh-CN"/>
              </w:rPr>
              <w:t>Hepatology</w:t>
            </w:r>
            <w:r>
              <w:rPr>
                <w:rFonts w:hint="default" w:ascii="Times New Roman Regular" w:hAnsi="Times New Roman Regular" w:eastAsia="仿宋" w:cs="Times New Roman Regular"/>
                <w:highlight w:val="none"/>
                <w:lang w:val="en-US" w:eastAsia="zh-CN"/>
              </w:rPr>
              <w:t>/王思远、闫珍珍、杨霞、安仕敏、张阔、祁雨、郑济林、纪岩晓、王丕晓、方纯、朱学勇、沈丽君、严凤娟、鲍蓉、田松、折志刚、唐熠达</w:t>
            </w:r>
          </w:p>
        </w:tc>
        <w:tc>
          <w:tcPr>
            <w:tcW w:w="1687" w:type="dxa"/>
            <w:vAlign w:val="center"/>
          </w:tcPr>
          <w:p>
            <w:pPr>
              <w:pStyle w:val="4"/>
              <w:spacing w:line="240" w:lineRule="exact"/>
              <w:ind w:firstLine="0" w:firstLineChars="0"/>
              <w:jc w:val="center"/>
              <w:rPr>
                <w:rFonts w:hint="default" w:ascii="Times New Roman Regular" w:hAnsi="Times New Roman Regular" w:eastAsia="仿宋" w:cs="Times New Roman Regular"/>
                <w:highlight w:val="none"/>
                <w:lang w:val="en-US" w:eastAsia="zh-CN"/>
              </w:rPr>
            </w:pPr>
            <w:r>
              <w:rPr>
                <w:rFonts w:hint="default" w:ascii="Times New Roman Regular" w:hAnsi="Times New Roman Regular" w:eastAsia="仿宋" w:cs="Times New Roman Regular"/>
                <w:highlight w:val="none"/>
                <w:lang w:val="en-US" w:eastAsia="zh-CN"/>
              </w:rPr>
              <w:t>2018</w:t>
            </w:r>
          </w:p>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67(4):1320-1338</w:t>
            </w:r>
          </w:p>
        </w:tc>
        <w:tc>
          <w:tcPr>
            <w:tcW w:w="851"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2018-04-20</w:t>
            </w:r>
          </w:p>
        </w:tc>
        <w:tc>
          <w:tcPr>
            <w:tcW w:w="1174"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lang w:val="en-US" w:eastAsia="zh-CN"/>
              </w:rPr>
              <w:t>唐熠达、</w:t>
            </w:r>
            <w:r>
              <w:rPr>
                <w:rFonts w:hint="default" w:ascii="Times New Roman Regular" w:hAnsi="Times New Roman Regular" w:eastAsia="仿宋" w:cs="Times New Roman Regular"/>
                <w:highlight w:val="none"/>
              </w:rPr>
              <w:t>折志刚</w:t>
            </w:r>
          </w:p>
        </w:tc>
        <w:tc>
          <w:tcPr>
            <w:tcW w:w="1470"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王思远、闫珍珍、杨霞</w:t>
            </w:r>
          </w:p>
        </w:tc>
        <w:tc>
          <w:tcPr>
            <w:tcW w:w="1815"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highlight w:val="none"/>
              </w:rPr>
              <w:t>王思远、闫珍珍、杨霞、安仕敏、张阔、祁雨、郑济林、纪岩晓、王丕晓、方纯、朱学勇、沈丽君、严凤娟、鲍蓉、田松、折志刚、唐熠达</w:t>
            </w:r>
          </w:p>
        </w:tc>
        <w:tc>
          <w:tcPr>
            <w:tcW w:w="153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yellow"/>
                <w:lang w:val="en-US" w:eastAsia="zh-CN" w:bidi="ar-SA"/>
              </w:rPr>
            </w:pPr>
          </w:p>
        </w:tc>
        <w:tc>
          <w:tcPr>
            <w:tcW w:w="1325"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483"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r>
      <w:tr>
        <w:trPr>
          <w:trHeight w:val="476" w:hRule="atLeast"/>
          <w:jc w:val="center"/>
        </w:trPr>
        <w:tc>
          <w:tcPr>
            <w:tcW w:w="815" w:type="dxa"/>
            <w:vAlign w:val="center"/>
          </w:tcPr>
          <w:p>
            <w:pPr>
              <w:spacing w:line="400" w:lineRule="exact"/>
              <w:jc w:val="center"/>
              <w:rPr>
                <w:rFonts w:hint="default"/>
                <w:sz w:val="21"/>
                <w:szCs w:val="21"/>
                <w:lang w:val="en-US" w:eastAsia="zh-CN"/>
              </w:rPr>
            </w:pPr>
            <w:r>
              <w:rPr>
                <w:rFonts w:hint="eastAsia"/>
                <w:sz w:val="21"/>
                <w:szCs w:val="21"/>
                <w:lang w:val="en-US" w:eastAsia="zh-CN"/>
              </w:rPr>
              <w:t>10</w:t>
            </w:r>
          </w:p>
        </w:tc>
        <w:tc>
          <w:tcPr>
            <w:tcW w:w="1448" w:type="dxa"/>
            <w:vAlign w:val="center"/>
          </w:tcPr>
          <w:p>
            <w:pPr>
              <w:pStyle w:val="4"/>
              <w:spacing w:line="240" w:lineRule="exact"/>
              <w:ind w:firstLine="0" w:firstLineChars="0"/>
              <w:jc w:val="both"/>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kern w:val="2"/>
                <w:sz w:val="24"/>
                <w:szCs w:val="20"/>
                <w:highlight w:val="none"/>
                <w:lang w:val="en-US" w:eastAsia="zh-CN" w:bidi="ar-SA"/>
              </w:rPr>
              <w:t>Effects of levothyroxine in subclinical hypothyroidism and heart failure with reduced ejection fraction: An open-label randomized trial</w:t>
            </w:r>
            <w:r>
              <w:rPr>
                <w:rFonts w:hint="eastAsia" w:ascii="Times New Roman Regular" w:hAnsi="Times New Roman Regular" w:eastAsia="仿宋" w:cs="Times New Roman Regular"/>
                <w:kern w:val="2"/>
                <w:sz w:val="24"/>
                <w:szCs w:val="20"/>
                <w:highlight w:val="none"/>
                <w:lang w:val="en-US" w:eastAsia="zh-CN" w:bidi="ar-SA"/>
              </w:rPr>
              <w:t>/</w:t>
            </w:r>
            <w:r>
              <w:rPr>
                <w:rFonts w:hint="default" w:ascii="Times New Roman Bold" w:hAnsi="Times New Roman Bold" w:eastAsia="仿宋" w:cs="Times New Roman Bold"/>
                <w:b/>
                <w:bCs/>
                <w:kern w:val="2"/>
                <w:sz w:val="24"/>
                <w:szCs w:val="20"/>
                <w:highlight w:val="none"/>
                <w:lang w:val="en-US" w:eastAsia="zh-CN" w:bidi="ar-SA"/>
              </w:rPr>
              <w:t>Cell Reports Medicine</w:t>
            </w:r>
            <w:r>
              <w:rPr>
                <w:rFonts w:hint="eastAsia" w:ascii="Times New Roman Regular" w:hAnsi="Times New Roman Regular" w:eastAsia="仿宋" w:cs="Times New Roman Regular"/>
                <w:kern w:val="2"/>
                <w:sz w:val="24"/>
                <w:szCs w:val="20"/>
                <w:highlight w:val="none"/>
                <w:lang w:val="en-US" w:eastAsia="zh-CN" w:bidi="ar-SA"/>
              </w:rPr>
              <w:t>/王文尧、张璇、高峻、孟祥彬、汪京嘉、张阔、陈静、戚嘉婷、邵春丽、唐熠达</w:t>
            </w:r>
          </w:p>
        </w:tc>
        <w:tc>
          <w:tcPr>
            <w:tcW w:w="1687" w:type="dxa"/>
            <w:vAlign w:val="center"/>
          </w:tcPr>
          <w:p>
            <w:pPr>
              <w:pStyle w:val="4"/>
              <w:spacing w:line="240" w:lineRule="exact"/>
              <w:ind w:firstLine="0" w:firstLineChars="0"/>
              <w:jc w:val="center"/>
              <w:rPr>
                <w:rFonts w:hint="eastAsia" w:ascii="Times New Roman Regular" w:hAnsi="Times New Roman Regular" w:eastAsia="仿宋" w:cs="Times New Roman Regular"/>
                <w:kern w:val="2"/>
                <w:sz w:val="24"/>
                <w:szCs w:val="20"/>
                <w:highlight w:val="none"/>
                <w:lang w:val="en-US" w:eastAsia="zh-CN" w:bidi="ar-SA"/>
              </w:rPr>
            </w:pPr>
            <w:r>
              <w:rPr>
                <w:rFonts w:hint="eastAsia" w:ascii="Times New Roman Regular" w:hAnsi="Times New Roman Regular" w:eastAsia="仿宋" w:cs="Times New Roman Regular"/>
                <w:kern w:val="2"/>
                <w:sz w:val="24"/>
                <w:szCs w:val="20"/>
                <w:highlight w:val="none"/>
                <w:lang w:val="en-US" w:eastAsia="zh-CN" w:bidi="ar-SA"/>
              </w:rPr>
              <w:t>2024</w:t>
            </w:r>
          </w:p>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default" w:ascii="Times New Roman Regular" w:hAnsi="Times New Roman Regular" w:eastAsia="仿宋" w:cs="Times New Roman Regular"/>
                <w:kern w:val="2"/>
                <w:sz w:val="24"/>
                <w:szCs w:val="20"/>
                <w:highlight w:val="none"/>
                <w:lang w:val="en-US" w:eastAsia="zh-CN" w:bidi="ar-SA"/>
              </w:rPr>
              <w:t>5(4):101473</w:t>
            </w:r>
          </w:p>
        </w:tc>
        <w:tc>
          <w:tcPr>
            <w:tcW w:w="851"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eastAsia" w:ascii="Times New Roman Regular" w:hAnsi="Times New Roman Regular" w:eastAsia="仿宋" w:cs="Times New Roman Regular"/>
                <w:kern w:val="2"/>
                <w:sz w:val="24"/>
                <w:szCs w:val="20"/>
                <w:highlight w:val="none"/>
                <w:lang w:val="en-US" w:eastAsia="zh-CN" w:bidi="ar-SA"/>
              </w:rPr>
              <w:t>2024-03-26</w:t>
            </w:r>
          </w:p>
        </w:tc>
        <w:tc>
          <w:tcPr>
            <w:tcW w:w="1174"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eastAsia" w:ascii="Times New Roman Regular" w:hAnsi="Times New Roman Regular" w:eastAsia="仿宋" w:cs="Times New Roman Regular"/>
                <w:kern w:val="2"/>
                <w:sz w:val="24"/>
                <w:szCs w:val="20"/>
                <w:highlight w:val="none"/>
                <w:lang w:val="en-US" w:eastAsia="zh-CN" w:bidi="ar-SA"/>
              </w:rPr>
              <w:t>唐熠达</w:t>
            </w:r>
          </w:p>
        </w:tc>
        <w:tc>
          <w:tcPr>
            <w:tcW w:w="1470"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eastAsia" w:ascii="Times New Roman Regular" w:hAnsi="Times New Roman Regular" w:eastAsia="仿宋" w:cs="Times New Roman Regular"/>
                <w:kern w:val="2"/>
                <w:sz w:val="24"/>
                <w:szCs w:val="20"/>
                <w:highlight w:val="none"/>
                <w:lang w:val="en-US" w:eastAsia="zh-CN" w:bidi="ar-SA"/>
              </w:rPr>
              <w:t>王文尧、张璇</w:t>
            </w:r>
          </w:p>
        </w:tc>
        <w:tc>
          <w:tcPr>
            <w:tcW w:w="1815" w:type="dxa"/>
            <w:gridSpan w:val="2"/>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r>
              <w:rPr>
                <w:rFonts w:hint="eastAsia" w:ascii="Times New Roman Regular" w:hAnsi="Times New Roman Regular" w:eastAsia="仿宋" w:cs="Times New Roman Regular"/>
                <w:kern w:val="2"/>
                <w:sz w:val="24"/>
                <w:szCs w:val="20"/>
                <w:highlight w:val="none"/>
                <w:lang w:val="en-US" w:eastAsia="zh-CN" w:bidi="ar-SA"/>
              </w:rPr>
              <w:t>王文尧、张璇、高峻、孟祥彬、汪京嘉、张阔、陈静、戚嘉婷、邵春丽、唐熠达</w:t>
            </w:r>
          </w:p>
        </w:tc>
        <w:tc>
          <w:tcPr>
            <w:tcW w:w="1538"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325"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c>
          <w:tcPr>
            <w:tcW w:w="1483" w:type="dxa"/>
            <w:vAlign w:val="center"/>
          </w:tcPr>
          <w:p>
            <w:pPr>
              <w:pStyle w:val="4"/>
              <w:spacing w:line="240" w:lineRule="exact"/>
              <w:ind w:firstLine="0" w:firstLineChars="0"/>
              <w:jc w:val="center"/>
              <w:rPr>
                <w:rFonts w:hint="default" w:ascii="Times New Roman Regular" w:hAnsi="Times New Roman Regular" w:eastAsia="仿宋" w:cs="Times New Roman Regular"/>
                <w:kern w:val="2"/>
                <w:sz w:val="24"/>
                <w:szCs w:val="20"/>
                <w:highlight w:val="none"/>
                <w:lang w:val="en-US" w:eastAsia="zh-CN" w:bidi="ar-SA"/>
              </w:rPr>
            </w:pPr>
          </w:p>
        </w:tc>
      </w:tr>
    </w:tbl>
    <w:p>
      <w:pPr>
        <w:spacing w:line="240" w:lineRule="atLeast"/>
        <w:rPr>
          <w:sz w:val="21"/>
          <w:szCs w:val="21"/>
        </w:rPr>
      </w:pPr>
    </w:p>
    <w:sectPr>
      <w:headerReference r:id="rId7" w:type="first"/>
      <w:footerReference r:id="rId10" w:type="first"/>
      <w:headerReference r:id="rId5" w:type="default"/>
      <w:footerReference r:id="rId8" w:type="default"/>
      <w:headerReference r:id="rId6" w:type="even"/>
      <w:footerReference r:id="rId9" w:type="even"/>
      <w:pgSz w:w="16838" w:h="11906" w:orient="landscape"/>
      <w:pgMar w:top="709" w:right="1134" w:bottom="851" w:left="1134" w:header="57" w:footer="57"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方正小标宋简体">
    <w:altName w:val="汉仪书宋二KW"/>
    <w:panose1 w:val="00000000000000000000"/>
    <w:charset w:val="86"/>
    <w:family w:val="auto"/>
    <w:pitch w:val="default"/>
    <w:sig w:usb0="00000000" w:usb1="00000000" w:usb2="00000012" w:usb3="00000000" w:csb0="00040001" w:csb1="00000000"/>
  </w:font>
  <w:font w:name="Cambria">
    <w:altName w:val="苹方-简"/>
    <w:panose1 w:val="02040503050406030204"/>
    <w:charset w:val="00"/>
    <w:family w:val="roman"/>
    <w:pitch w:val="default"/>
    <w:sig w:usb0="00000000" w:usb1="00000000" w:usb2="02000000" w:usb3="00000000" w:csb0="0000019F"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191"/>
    <w:rsid w:val="00077F7A"/>
    <w:rsid w:val="0008303C"/>
    <w:rsid w:val="000A4ADF"/>
    <w:rsid w:val="000A6884"/>
    <w:rsid w:val="000C5D8B"/>
    <w:rsid w:val="000C7F6B"/>
    <w:rsid w:val="000F6F3F"/>
    <w:rsid w:val="001140EF"/>
    <w:rsid w:val="001160C0"/>
    <w:rsid w:val="00124973"/>
    <w:rsid w:val="00130AF0"/>
    <w:rsid w:val="0017059E"/>
    <w:rsid w:val="001B472D"/>
    <w:rsid w:val="001C156A"/>
    <w:rsid w:val="001C3D91"/>
    <w:rsid w:val="001D0466"/>
    <w:rsid w:val="001D565E"/>
    <w:rsid w:val="001F79F3"/>
    <w:rsid w:val="00266118"/>
    <w:rsid w:val="00287332"/>
    <w:rsid w:val="002F3E65"/>
    <w:rsid w:val="00323B9A"/>
    <w:rsid w:val="0036656F"/>
    <w:rsid w:val="003B6016"/>
    <w:rsid w:val="00421DF8"/>
    <w:rsid w:val="004240EF"/>
    <w:rsid w:val="00425E17"/>
    <w:rsid w:val="0045344D"/>
    <w:rsid w:val="004A0561"/>
    <w:rsid w:val="004A7815"/>
    <w:rsid w:val="004C37C2"/>
    <w:rsid w:val="004C73E4"/>
    <w:rsid w:val="004D1208"/>
    <w:rsid w:val="00525143"/>
    <w:rsid w:val="00555E53"/>
    <w:rsid w:val="00587D24"/>
    <w:rsid w:val="005C7F36"/>
    <w:rsid w:val="005D377D"/>
    <w:rsid w:val="005E43D4"/>
    <w:rsid w:val="005E73CD"/>
    <w:rsid w:val="00646ECD"/>
    <w:rsid w:val="006634D0"/>
    <w:rsid w:val="00727213"/>
    <w:rsid w:val="007321E7"/>
    <w:rsid w:val="007462CD"/>
    <w:rsid w:val="00747E9E"/>
    <w:rsid w:val="007536FB"/>
    <w:rsid w:val="0077006F"/>
    <w:rsid w:val="007703AA"/>
    <w:rsid w:val="00794ABF"/>
    <w:rsid w:val="007A4FC9"/>
    <w:rsid w:val="007A6D0D"/>
    <w:rsid w:val="007B6B45"/>
    <w:rsid w:val="007D244E"/>
    <w:rsid w:val="007E7F22"/>
    <w:rsid w:val="00870E43"/>
    <w:rsid w:val="00953187"/>
    <w:rsid w:val="009D3FAC"/>
    <w:rsid w:val="009F08CF"/>
    <w:rsid w:val="00A31E1D"/>
    <w:rsid w:val="00A64BC1"/>
    <w:rsid w:val="00A721D4"/>
    <w:rsid w:val="00A9312C"/>
    <w:rsid w:val="00A971A5"/>
    <w:rsid w:val="00AB0DA4"/>
    <w:rsid w:val="00AD49CC"/>
    <w:rsid w:val="00AF0C16"/>
    <w:rsid w:val="00B6042A"/>
    <w:rsid w:val="00B84FA2"/>
    <w:rsid w:val="00B8637A"/>
    <w:rsid w:val="00BF3922"/>
    <w:rsid w:val="00BF39D0"/>
    <w:rsid w:val="00C73532"/>
    <w:rsid w:val="00CA661D"/>
    <w:rsid w:val="00CC1191"/>
    <w:rsid w:val="00CD7F13"/>
    <w:rsid w:val="00CE0848"/>
    <w:rsid w:val="00CE67F0"/>
    <w:rsid w:val="00CF0FF2"/>
    <w:rsid w:val="00D05237"/>
    <w:rsid w:val="00D1337D"/>
    <w:rsid w:val="00D2527C"/>
    <w:rsid w:val="00E02738"/>
    <w:rsid w:val="00E363A3"/>
    <w:rsid w:val="00E36DE3"/>
    <w:rsid w:val="00E92968"/>
    <w:rsid w:val="00E939F0"/>
    <w:rsid w:val="00EA6AE7"/>
    <w:rsid w:val="00EF6E69"/>
    <w:rsid w:val="00EF7DD5"/>
    <w:rsid w:val="00F85FF9"/>
    <w:rsid w:val="00FB5AC0"/>
    <w:rsid w:val="16C9354B"/>
    <w:rsid w:val="1CFB7CFE"/>
    <w:rsid w:val="1D536E88"/>
    <w:rsid w:val="2BFFBEE6"/>
    <w:rsid w:val="2D7F8CCE"/>
    <w:rsid w:val="42582E81"/>
    <w:rsid w:val="494644B1"/>
    <w:rsid w:val="4BFEA659"/>
    <w:rsid w:val="4DF64E7D"/>
    <w:rsid w:val="53D94840"/>
    <w:rsid w:val="5BACD2A5"/>
    <w:rsid w:val="67FF5D34"/>
    <w:rsid w:val="6BE5ACA4"/>
    <w:rsid w:val="6FBFBBBC"/>
    <w:rsid w:val="76B13AE8"/>
    <w:rsid w:val="7ABCCF20"/>
    <w:rsid w:val="7AE1A9A0"/>
    <w:rsid w:val="7FAEA175"/>
    <w:rsid w:val="7FFFB586"/>
    <w:rsid w:val="BF5F63A0"/>
    <w:rsid w:val="DDE6A91D"/>
    <w:rsid w:val="E7DAADAB"/>
    <w:rsid w:val="EF98495A"/>
    <w:rsid w:val="FDDF63DF"/>
    <w:rsid w:val="FE3F8C02"/>
    <w:rsid w:val="FEFB74D5"/>
    <w:rsid w:val="FF172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9"/>
    <w:pPr>
      <w:keepNext/>
      <w:keepLines/>
      <w:jc w:val="center"/>
      <w:outlineLvl w:val="0"/>
    </w:pPr>
    <w:rPr>
      <w:rFonts w:eastAsia="方正小标宋简体"/>
      <w:bCs/>
      <w:kern w:val="44"/>
      <w:sz w:val="44"/>
      <w:szCs w:val="44"/>
    </w:rPr>
  </w:style>
  <w:style w:type="paragraph" w:styleId="3">
    <w:name w:val="heading 2"/>
    <w:basedOn w:val="1"/>
    <w:next w:val="1"/>
    <w:link w:val="14"/>
    <w:unhideWhenUsed/>
    <w:qFormat/>
    <w:uiPriority w:val="9"/>
    <w:pPr>
      <w:keepNext/>
      <w:keepLines/>
      <w:ind w:firstLine="641"/>
      <w:outlineLvl w:val="1"/>
    </w:pPr>
    <w:rPr>
      <w:rFonts w:eastAsia="黑体" w:asciiTheme="majorHAnsi" w:hAnsiTheme="majorHAnsi" w:cstheme="majorBidi"/>
      <w:bCs/>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Plain Text"/>
    <w:basedOn w:val="1"/>
    <w:link w:val="15"/>
    <w:unhideWhenUsed/>
    <w:qFormat/>
    <w:uiPriority w:val="0"/>
    <w:pPr>
      <w:widowControl w:val="0"/>
      <w:spacing w:line="360" w:lineRule="auto"/>
      <w:ind w:firstLine="480" w:firstLineChars="200"/>
      <w:jc w:val="both"/>
    </w:pPr>
    <w:rPr>
      <w:rFonts w:hint="eastAsia" w:ascii="仿宋_GB2312" w:eastAsia="宋体" w:cs="Times New Roman"/>
      <w:sz w:val="24"/>
      <w:szCs w:val="20"/>
    </w:rPr>
  </w:style>
  <w:style w:type="paragraph" w:styleId="5">
    <w:name w:val="footer"/>
    <w:basedOn w:val="1"/>
    <w:link w:val="12"/>
    <w:unhideWhenUsed/>
    <w:qFormat/>
    <w:uiPriority w:val="99"/>
    <w:pPr>
      <w:tabs>
        <w:tab w:val="center" w:pos="4153"/>
        <w:tab w:val="right" w:pos="8306"/>
      </w:tabs>
      <w:snapToGrid w:val="0"/>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pPr>
    <w:rPr>
      <w:sz w:val="18"/>
      <w:szCs w:val="18"/>
    </w:rPr>
  </w:style>
  <w:style w:type="paragraph" w:styleId="7">
    <w:name w:val="Normal (Web)"/>
    <w:basedOn w:val="1"/>
    <w:semiHidden/>
    <w:unhideWhenUsed/>
    <w:qFormat/>
    <w:uiPriority w:val="99"/>
    <w:rPr>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sz w:val="18"/>
      <w:szCs w:val="18"/>
    </w:rPr>
  </w:style>
  <w:style w:type="character" w:customStyle="1" w:styleId="12">
    <w:name w:val="页脚 字符"/>
    <w:basedOn w:val="10"/>
    <w:link w:val="5"/>
    <w:qFormat/>
    <w:uiPriority w:val="99"/>
    <w:rPr>
      <w:sz w:val="18"/>
      <w:szCs w:val="18"/>
    </w:rPr>
  </w:style>
  <w:style w:type="character" w:customStyle="1" w:styleId="13">
    <w:name w:val="标题 1 字符"/>
    <w:basedOn w:val="10"/>
    <w:link w:val="2"/>
    <w:uiPriority w:val="9"/>
    <w:rPr>
      <w:rFonts w:eastAsia="方正小标宋简体"/>
      <w:bCs/>
      <w:kern w:val="44"/>
      <w:sz w:val="44"/>
      <w:szCs w:val="44"/>
    </w:rPr>
  </w:style>
  <w:style w:type="character" w:customStyle="1" w:styleId="14">
    <w:name w:val="标题 2 字符"/>
    <w:basedOn w:val="10"/>
    <w:link w:val="3"/>
    <w:qFormat/>
    <w:uiPriority w:val="9"/>
    <w:rPr>
      <w:rFonts w:eastAsia="黑体" w:asciiTheme="majorHAnsi" w:hAnsiTheme="majorHAnsi" w:cstheme="majorBidi"/>
      <w:bCs/>
      <w:szCs w:val="32"/>
    </w:rPr>
  </w:style>
  <w:style w:type="character" w:customStyle="1" w:styleId="15">
    <w:name w:val="纯文本 字符"/>
    <w:basedOn w:val="10"/>
    <w:link w:val="4"/>
    <w:qFormat/>
    <w:uiPriority w:val="0"/>
    <w:rPr>
      <w:rFonts w:hint="eastAsia" w:ascii="仿宋_GB2312" w:eastAsia="仿宋_GB2312" w:cs="仿宋_GB2312"/>
      <w:kern w:val="2"/>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263</Words>
  <Characters>1502</Characters>
  <Lines>12</Lines>
  <Paragraphs>3</Paragraphs>
  <TotalTime>5</TotalTime>
  <ScaleCrop>false</ScaleCrop>
  <LinksUpToDate>false</LinksUpToDate>
  <CharactersWithSpaces>1762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2019-12-04T19:23:00Z</dcterms:created>
  <dc:creator>李昕然</dc:creator>
  <cp:lastModifiedBy>WYGS</cp:lastModifiedBy>
  <cp:lastPrinted>2019-12-05T10:10:00Z</cp:lastPrinted>
  <dcterms:modified xsi:type="dcterms:W3CDTF">2025-03-16T22:31:37Z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8A4B25E567E12EBAF780D667C3B54DF3_43</vt:lpwstr>
  </property>
</Properties>
</file>