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1C39F"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附件编号：</w:t>
      </w:r>
      <w:r>
        <w:rPr>
          <w:rFonts w:hint="eastAsia" w:ascii="黑体" w:hAnsi="黑体" w:eastAsia="黑体"/>
          <w:b/>
          <w:color w:val="000000"/>
          <w:szCs w:val="21"/>
        </w:rPr>
        <w:t xml:space="preserve"> SOP-LLWYH-010-05-R</w:t>
      </w:r>
      <w:r>
        <w:rPr>
          <w:rFonts w:hint="eastAsia" w:ascii="黑体" w:hAnsi="黑体" w:eastAsia="黑体"/>
          <w:b/>
          <w:color w:val="000000"/>
          <w:szCs w:val="21"/>
          <w:vertAlign w:val="subscript"/>
        </w:rPr>
        <w:t>2</w:t>
      </w:r>
    </w:p>
    <w:p w14:paraId="1AD6B30C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年度/定期跟踪审查工作表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47"/>
        <w:gridCol w:w="2155"/>
        <w:gridCol w:w="2110"/>
      </w:tblGrid>
      <w:tr w14:paraId="7840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7ECF9D48">
            <w:pPr>
              <w:spacing w:line="440" w:lineRule="exact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3369004F">
            <w:pPr>
              <w:spacing w:line="440" w:lineRule="exact"/>
            </w:pPr>
          </w:p>
        </w:tc>
      </w:tr>
      <w:tr w14:paraId="2E61F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16" w:type="dxa"/>
            <w:noWrap w:val="0"/>
            <w:vAlign w:val="top"/>
          </w:tcPr>
          <w:p w14:paraId="1E3AD495">
            <w:pPr>
              <w:spacing w:line="440" w:lineRule="exact"/>
            </w:pPr>
            <w:r>
              <w:rPr>
                <w:rFonts w:hint="eastAsia"/>
                <w:lang w:eastAsia="zh-CN"/>
              </w:rPr>
              <w:t>申办者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7D1AC606">
            <w:pPr>
              <w:spacing w:line="440" w:lineRule="exact"/>
            </w:pPr>
          </w:p>
        </w:tc>
      </w:tr>
      <w:tr w14:paraId="12048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5CA2651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632F4FC3">
            <w:pPr>
              <w:spacing w:line="440" w:lineRule="exact"/>
            </w:pPr>
          </w:p>
        </w:tc>
      </w:tr>
      <w:tr w14:paraId="53006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0501E77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</w:p>
        </w:tc>
        <w:tc>
          <w:tcPr>
            <w:tcW w:w="2147" w:type="dxa"/>
            <w:noWrap w:val="0"/>
            <w:vAlign w:val="top"/>
          </w:tcPr>
          <w:p w14:paraId="6EF48C08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0F42D197"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</w:t>
            </w:r>
          </w:p>
        </w:tc>
        <w:tc>
          <w:tcPr>
            <w:tcW w:w="2110" w:type="dxa"/>
            <w:noWrap w:val="0"/>
            <w:vAlign w:val="top"/>
          </w:tcPr>
          <w:p w14:paraId="244C2954">
            <w:pPr>
              <w:spacing w:line="360" w:lineRule="auto"/>
            </w:pPr>
          </w:p>
        </w:tc>
      </w:tr>
      <w:tr w14:paraId="0D189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33D3A9A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批准的跟踪审查频率 </w:t>
            </w:r>
          </w:p>
        </w:tc>
        <w:tc>
          <w:tcPr>
            <w:tcW w:w="2147" w:type="dxa"/>
            <w:noWrap w:val="0"/>
            <w:vAlign w:val="top"/>
          </w:tcPr>
          <w:p w14:paraId="249583C6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7DAA277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批准日期 </w:t>
            </w:r>
          </w:p>
        </w:tc>
        <w:tc>
          <w:tcPr>
            <w:tcW w:w="2110" w:type="dxa"/>
            <w:noWrap w:val="0"/>
            <w:vAlign w:val="top"/>
          </w:tcPr>
          <w:p w14:paraId="21C1C968">
            <w:pPr>
              <w:spacing w:line="360" w:lineRule="auto"/>
            </w:pPr>
          </w:p>
        </w:tc>
      </w:tr>
      <w:tr w14:paraId="76236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013D09B7">
            <w:pPr>
              <w:spacing w:line="440" w:lineRule="exact"/>
            </w:pPr>
            <w:r>
              <w:rPr>
                <w:rFonts w:hint="eastAsia"/>
              </w:rPr>
              <w:t xml:space="preserve">批件号 </w:t>
            </w:r>
          </w:p>
        </w:tc>
        <w:tc>
          <w:tcPr>
            <w:tcW w:w="2147" w:type="dxa"/>
            <w:noWrap w:val="0"/>
            <w:vAlign w:val="top"/>
          </w:tcPr>
          <w:p w14:paraId="6EBB0090">
            <w:pPr>
              <w:spacing w:line="440" w:lineRule="exact"/>
            </w:pPr>
          </w:p>
        </w:tc>
        <w:tc>
          <w:tcPr>
            <w:tcW w:w="2155" w:type="dxa"/>
            <w:noWrap w:val="0"/>
            <w:vAlign w:val="top"/>
          </w:tcPr>
          <w:p w14:paraId="594BA64B">
            <w:pPr>
              <w:spacing w:line="440" w:lineRule="exact"/>
            </w:pPr>
            <w:r>
              <w:rPr>
                <w:rFonts w:hint="eastAsia"/>
              </w:rPr>
              <w:t>主审委员</w:t>
            </w:r>
          </w:p>
        </w:tc>
        <w:tc>
          <w:tcPr>
            <w:tcW w:w="2110" w:type="dxa"/>
            <w:noWrap w:val="0"/>
            <w:vAlign w:val="top"/>
          </w:tcPr>
          <w:p w14:paraId="5107E36E">
            <w:pPr>
              <w:spacing w:line="440" w:lineRule="exact"/>
            </w:pPr>
          </w:p>
        </w:tc>
      </w:tr>
    </w:tbl>
    <w:p w14:paraId="23B71813">
      <w:pPr>
        <w:pStyle w:val="6"/>
        <w:numPr>
          <w:ilvl w:val="0"/>
          <w:numId w:val="1"/>
        </w:numPr>
        <w:spacing w:line="360" w:lineRule="exact"/>
        <w:ind w:firstLineChars="0"/>
        <w:rPr>
          <w:b/>
        </w:rPr>
      </w:pPr>
      <w:r>
        <w:rPr>
          <w:rFonts w:hint="eastAsia"/>
          <w:b/>
        </w:rPr>
        <w:t>审查要素</w:t>
      </w:r>
    </w:p>
    <w:p w14:paraId="6D128872">
      <w:pPr>
        <w:pStyle w:val="6"/>
        <w:numPr>
          <w:ilvl w:val="0"/>
          <w:numId w:val="2"/>
        </w:numPr>
        <w:spacing w:line="360" w:lineRule="exact"/>
        <w:ind w:firstLineChars="0"/>
      </w:pPr>
      <w:r>
        <w:rPr>
          <w:rFonts w:hint="eastAsia"/>
        </w:rPr>
        <w:t>是否存在影响研究进行的情况：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 xml:space="preserve">否； </w:t>
      </w:r>
    </w:p>
    <w:p w14:paraId="76E3E340">
      <w:pPr>
        <w:pStyle w:val="6"/>
        <w:numPr>
          <w:ilvl w:val="0"/>
          <w:numId w:val="2"/>
        </w:numPr>
        <w:spacing w:line="360" w:lineRule="exact"/>
        <w:ind w:firstLineChars="0"/>
        <w:rPr>
          <w:spacing w:val="-6"/>
        </w:rPr>
      </w:pPr>
      <w:r>
        <w:rPr>
          <w:rFonts w:hint="eastAsia"/>
          <w:spacing w:val="-6"/>
        </w:rPr>
        <w:t>严重不良事件或方案规定必须报告的重要医学事件已经及时报告：</w:t>
      </w:r>
      <w:r>
        <w:rPr>
          <w:rFonts w:hint="eastAsia" w:ascii="宋体" w:hAnsi="宋体"/>
          <w:spacing w:val="-6"/>
        </w:rPr>
        <w:t>□</w:t>
      </w:r>
      <w:r>
        <w:rPr>
          <w:rFonts w:hint="eastAsia" w:ascii="华文楷体" w:hAnsi="华文楷体" w:eastAsia="华文楷体"/>
          <w:spacing w:val="-6"/>
        </w:rPr>
        <w:t>是</w:t>
      </w:r>
      <w:r>
        <w:rPr>
          <w:rFonts w:hint="eastAsia"/>
          <w:spacing w:val="-6"/>
        </w:rPr>
        <w:t>；</w:t>
      </w:r>
      <w:r>
        <w:rPr>
          <w:rFonts w:hint="eastAsia" w:ascii="宋体" w:hAnsi="宋体"/>
          <w:spacing w:val="-6"/>
        </w:rPr>
        <w:t>□</w:t>
      </w:r>
      <w:r>
        <w:rPr>
          <w:rFonts w:hint="eastAsia" w:ascii="华文楷体" w:hAnsi="华文楷体" w:eastAsia="华文楷体"/>
          <w:spacing w:val="-6"/>
        </w:rPr>
        <w:t>否；</w:t>
      </w:r>
      <w:r>
        <w:rPr>
          <w:rFonts w:hint="eastAsia" w:ascii="宋体" w:hAnsi="宋体"/>
          <w:spacing w:val="-6"/>
        </w:rPr>
        <w:t>□</w:t>
      </w:r>
      <w:r>
        <w:rPr>
          <w:rFonts w:hint="eastAsia" w:ascii="华文楷体" w:hAnsi="华文楷体" w:eastAsia="华文楷体"/>
          <w:spacing w:val="-6"/>
        </w:rPr>
        <w:t>不适用</w:t>
      </w:r>
    </w:p>
    <w:p w14:paraId="0C6CD5D0">
      <w:pPr>
        <w:pStyle w:val="6"/>
        <w:numPr>
          <w:ilvl w:val="0"/>
          <w:numId w:val="2"/>
        </w:numPr>
        <w:spacing w:line="360" w:lineRule="exact"/>
        <w:ind w:left="0" w:firstLine="0" w:firstLineChars="0"/>
      </w:pPr>
      <w:r>
        <w:rPr>
          <w:rFonts w:hint="eastAsia"/>
        </w:rPr>
        <w:t>与药物/医疗器械相关的、非预期的严重不良事件是否影响研究的风险与受益：</w:t>
      </w:r>
    </w:p>
    <w:p w14:paraId="03475761">
      <w:pPr>
        <w:pStyle w:val="6"/>
        <w:numPr>
          <w:ilvl w:val="0"/>
          <w:numId w:val="2"/>
        </w:numPr>
        <w:spacing w:line="360" w:lineRule="exact"/>
        <w:ind w:firstLineChars="0"/>
      </w:pPr>
      <w:r>
        <w:rPr>
          <w:rFonts w:hint="eastAsia"/>
        </w:rPr>
        <w:t xml:space="preserve">                                                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 xml:space="preserve">否；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不适用</w:t>
      </w:r>
    </w:p>
    <w:p w14:paraId="5E7EA2F0">
      <w:pPr>
        <w:pStyle w:val="6"/>
        <w:numPr>
          <w:ilvl w:val="0"/>
          <w:numId w:val="2"/>
        </w:numPr>
        <w:spacing w:line="360" w:lineRule="exact"/>
        <w:ind w:firstLineChars="0"/>
      </w:pPr>
      <w:r>
        <w:rPr>
          <w:rFonts w:hint="eastAsia"/>
        </w:rPr>
        <w:t>研究的风险是否超过预期：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17882893">
      <w:pPr>
        <w:pStyle w:val="6"/>
        <w:numPr>
          <w:ilvl w:val="0"/>
          <w:numId w:val="2"/>
        </w:numPr>
        <w:spacing w:line="360" w:lineRule="exact"/>
        <w:ind w:firstLineChars="0"/>
      </w:pPr>
      <w:r>
        <w:rPr>
          <w:rFonts w:hint="eastAsia"/>
        </w:rPr>
        <w:t>是否存在影响研究风险与受益的任何新信息、新进展：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6FAD87F0">
      <w:pPr>
        <w:pStyle w:val="6"/>
        <w:numPr>
          <w:ilvl w:val="0"/>
          <w:numId w:val="2"/>
        </w:numPr>
        <w:spacing w:line="360" w:lineRule="exact"/>
        <w:ind w:firstLineChars="0"/>
      </w:pPr>
      <w:r>
        <w:rPr>
          <w:rFonts w:hint="eastAsia"/>
        </w:rPr>
        <w:t>研究中是否存在影响受试者权益的问题：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 xml:space="preserve">否； </w:t>
      </w:r>
    </w:p>
    <w:p w14:paraId="14E20BD8">
      <w:pPr>
        <w:pStyle w:val="6"/>
        <w:numPr>
          <w:ilvl w:val="0"/>
          <w:numId w:val="2"/>
        </w:numPr>
        <w:spacing w:line="360" w:lineRule="exact"/>
        <w:ind w:firstLineChars="0"/>
      </w:pPr>
      <w:r>
        <w:rPr>
          <w:rFonts w:hint="eastAsia"/>
        </w:rPr>
        <w:t>是否同意本研究项目继续按已批准的方案进行：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 xml:space="preserve">；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192"/>
        <w:gridCol w:w="2176"/>
        <w:gridCol w:w="2176"/>
      </w:tblGrid>
      <w:tr w14:paraId="28228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4E51C500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审查意见：</w:t>
            </w:r>
          </w:p>
        </w:tc>
      </w:tr>
      <w:tr w14:paraId="20EEE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2BB50EFF">
            <w:r>
              <w:rPr>
                <w:rFonts w:hint="eastAsia"/>
              </w:rPr>
              <w:t>建议：</w:t>
            </w:r>
          </w:p>
          <w:p w14:paraId="44593065"/>
          <w:p w14:paraId="0B6E0EFC"/>
          <w:p w14:paraId="28D31156"/>
          <w:p w14:paraId="78844AE7"/>
          <w:p w14:paraId="5171F60B"/>
        </w:tc>
      </w:tr>
      <w:tr w14:paraId="2C0D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noWrap w:val="0"/>
            <w:vAlign w:val="top"/>
          </w:tcPr>
          <w:p w14:paraId="04846DD7">
            <w:pPr>
              <w:numPr>
                <w:ilvl w:val="0"/>
                <w:numId w:val="3"/>
              </w:numPr>
              <w:spacing w:line="280" w:lineRule="exact"/>
              <w:ind w:left="0" w:firstLine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批准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不批准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修改后批准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修改后再审                </w:t>
            </w:r>
          </w:p>
          <w:p w14:paraId="258E7F7B">
            <w:pPr>
              <w:spacing w:line="360" w:lineRule="auto"/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继续研究 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暂停或终止研究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/>
              </w:rPr>
              <w:t>□提交会议审查</w:t>
            </w:r>
          </w:p>
        </w:tc>
      </w:tr>
      <w:tr w14:paraId="327C4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noWrap w:val="0"/>
            <w:vAlign w:val="top"/>
          </w:tcPr>
          <w:p w14:paraId="79B8939F">
            <w:pPr>
              <w:spacing w:line="360" w:lineRule="auto"/>
            </w:pPr>
            <w:r>
              <w:rPr>
                <w:rFonts w:hint="eastAsia"/>
              </w:rPr>
              <w:t xml:space="preserve">跟踪审查频率 </w:t>
            </w:r>
          </w:p>
        </w:tc>
        <w:tc>
          <w:tcPr>
            <w:tcW w:w="2192" w:type="dxa"/>
            <w:noWrap w:val="0"/>
            <w:vAlign w:val="top"/>
          </w:tcPr>
          <w:p w14:paraId="393895D9"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不变；   </w:t>
            </w:r>
            <w:r>
              <w:rPr>
                <w:rFonts w:hint="eastAsia" w:ascii="宋体" w:hAnsi="宋体"/>
              </w:rPr>
              <w:t>□改变</w:t>
            </w:r>
          </w:p>
        </w:tc>
        <w:tc>
          <w:tcPr>
            <w:tcW w:w="2176" w:type="dxa"/>
            <w:noWrap w:val="0"/>
            <w:vAlign w:val="top"/>
          </w:tcPr>
          <w:p w14:paraId="10A8005D">
            <w:pPr>
              <w:spacing w:line="360" w:lineRule="auto"/>
            </w:pPr>
            <w:r>
              <w:rPr>
                <w:rFonts w:hint="eastAsia"/>
              </w:rPr>
              <w:t xml:space="preserve">修正跟踪审查频率 </w:t>
            </w:r>
          </w:p>
        </w:tc>
        <w:tc>
          <w:tcPr>
            <w:tcW w:w="2176" w:type="dxa"/>
            <w:noWrap w:val="0"/>
            <w:vAlign w:val="top"/>
          </w:tcPr>
          <w:p w14:paraId="090F3835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14:paraId="1595A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noWrap w:val="0"/>
            <w:vAlign w:val="top"/>
          </w:tcPr>
          <w:p w14:paraId="42A6ADC1">
            <w:pPr>
              <w:spacing w:line="360" w:lineRule="auto"/>
            </w:pPr>
            <w:r>
              <w:rPr>
                <w:rFonts w:hint="eastAsia"/>
              </w:rPr>
              <w:t>主审委员声明</w:t>
            </w:r>
          </w:p>
        </w:tc>
        <w:tc>
          <w:tcPr>
            <w:tcW w:w="6544" w:type="dxa"/>
            <w:gridSpan w:val="3"/>
            <w:noWrap w:val="0"/>
            <w:vAlign w:val="top"/>
          </w:tcPr>
          <w:p w14:paraId="3BE4E960"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作为审查人员，我与该研究项目之间不存在相关的利益冲突。</w:t>
            </w:r>
          </w:p>
        </w:tc>
      </w:tr>
      <w:tr w14:paraId="25ADE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76" w:type="dxa"/>
            <w:noWrap w:val="0"/>
            <w:vAlign w:val="center"/>
          </w:tcPr>
          <w:p w14:paraId="02D87A04">
            <w:pPr>
              <w:spacing w:line="360" w:lineRule="auto"/>
            </w:pPr>
            <w:r>
              <w:rPr>
                <w:rFonts w:hint="eastAsia"/>
              </w:rPr>
              <w:t>主审委员签名</w:t>
            </w:r>
          </w:p>
        </w:tc>
        <w:tc>
          <w:tcPr>
            <w:tcW w:w="2192" w:type="dxa"/>
            <w:noWrap w:val="0"/>
            <w:vAlign w:val="center"/>
          </w:tcPr>
          <w:p w14:paraId="69886723">
            <w:pPr>
              <w:spacing w:line="360" w:lineRule="auto"/>
            </w:pPr>
          </w:p>
        </w:tc>
        <w:tc>
          <w:tcPr>
            <w:tcW w:w="2176" w:type="dxa"/>
            <w:noWrap w:val="0"/>
            <w:vAlign w:val="center"/>
          </w:tcPr>
          <w:p w14:paraId="4D54B1E9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176" w:type="dxa"/>
            <w:noWrap w:val="0"/>
            <w:vAlign w:val="center"/>
          </w:tcPr>
          <w:p w14:paraId="7E698AC3">
            <w:pPr>
              <w:spacing w:line="360" w:lineRule="auto"/>
            </w:pPr>
          </w:p>
        </w:tc>
      </w:tr>
      <w:tr w14:paraId="21B53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176" w:type="dxa"/>
            <w:noWrap w:val="0"/>
            <w:vAlign w:val="center"/>
          </w:tcPr>
          <w:p w14:paraId="1B64C773">
            <w:pPr>
              <w:spacing w:line="360" w:lineRule="auto"/>
            </w:pPr>
            <w:r>
              <w:rPr>
                <w:rFonts w:hint="eastAsia"/>
              </w:rPr>
              <w:t>主任委员签名</w:t>
            </w:r>
          </w:p>
        </w:tc>
        <w:tc>
          <w:tcPr>
            <w:tcW w:w="2192" w:type="dxa"/>
            <w:noWrap w:val="0"/>
            <w:vAlign w:val="center"/>
          </w:tcPr>
          <w:p w14:paraId="3EF47737">
            <w:pPr>
              <w:spacing w:line="360" w:lineRule="auto"/>
            </w:pPr>
          </w:p>
        </w:tc>
        <w:tc>
          <w:tcPr>
            <w:tcW w:w="2176" w:type="dxa"/>
            <w:noWrap w:val="0"/>
            <w:vAlign w:val="center"/>
          </w:tcPr>
          <w:p w14:paraId="74183C3B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176" w:type="dxa"/>
            <w:noWrap w:val="0"/>
            <w:vAlign w:val="center"/>
          </w:tcPr>
          <w:p w14:paraId="12AFB546">
            <w:pPr>
              <w:spacing w:line="360" w:lineRule="auto"/>
            </w:pPr>
          </w:p>
        </w:tc>
      </w:tr>
    </w:tbl>
    <w:p w14:paraId="7175ABB4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F31EE"/>
    <w:multiLevelType w:val="multilevel"/>
    <w:tmpl w:val="414F31EE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8D66071"/>
    <w:multiLevelType w:val="multilevel"/>
    <w:tmpl w:val="58D6607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B047A1"/>
    <w:multiLevelType w:val="multilevel"/>
    <w:tmpl w:val="69B047A1"/>
    <w:lvl w:ilvl="0" w:tentative="0">
      <w:start w:val="1"/>
      <w:numFmt w:val="bullet"/>
      <w:lvlText w:val="-"/>
      <w:lvlJc w:val="left"/>
      <w:pPr>
        <w:ind w:left="555" w:hanging="360"/>
      </w:pPr>
      <w:rPr>
        <w:rFonts w:hint="default" w:ascii="Calibri" w:hAnsi="Calibri" w:eastAsia="宋体" w:cs="Calibri"/>
      </w:rPr>
    </w:lvl>
    <w:lvl w:ilvl="1" w:tentative="0">
      <w:start w:val="1"/>
      <w:numFmt w:val="bullet"/>
      <w:lvlText w:val=""/>
      <w:lvlJc w:val="left"/>
      <w:pPr>
        <w:ind w:left="10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7211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