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ADF84F">
      <w:pPr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>附件编号：</w:t>
      </w:r>
      <w:r>
        <w:rPr>
          <w:rFonts w:hint="eastAsia" w:ascii="黑体" w:hAnsi="宋体" w:eastAsia="黑体"/>
          <w:b/>
          <w:color w:val="000000"/>
          <w:szCs w:val="21"/>
        </w:rPr>
        <w:t>SOP-LLWYH-016-05</w:t>
      </w:r>
      <w:r>
        <w:rPr>
          <w:rFonts w:hint="eastAsia" w:ascii="黑体" w:hAnsi="黑体" w:eastAsia="黑体"/>
          <w:b/>
          <w:color w:val="000000"/>
          <w:szCs w:val="21"/>
        </w:rPr>
        <w:t>-R</w:t>
      </w:r>
      <w:r>
        <w:rPr>
          <w:rFonts w:hint="eastAsia" w:ascii="黑体" w:hAnsi="黑体" w:eastAsia="黑体"/>
          <w:b/>
          <w:color w:val="000000"/>
          <w:szCs w:val="21"/>
          <w:vertAlign w:val="subscript"/>
        </w:rPr>
        <w:t>3</w:t>
      </w:r>
    </w:p>
    <w:p w14:paraId="3A4C34F6"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严重不良事件审查工作表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6"/>
        <w:gridCol w:w="2147"/>
        <w:gridCol w:w="2155"/>
        <w:gridCol w:w="2110"/>
      </w:tblGrid>
      <w:tr w14:paraId="0177C2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6" w:type="dxa"/>
            <w:noWrap w:val="0"/>
            <w:vAlign w:val="top"/>
          </w:tcPr>
          <w:p w14:paraId="0091F7F6">
            <w:pPr>
              <w:spacing w:line="440" w:lineRule="exact"/>
            </w:pPr>
            <w:r>
              <w:rPr>
                <w:rFonts w:hint="eastAsia"/>
              </w:rPr>
              <w:t>项目</w:t>
            </w:r>
            <w:r>
              <w:rPr>
                <w:rFonts w:hint="eastAsia"/>
                <w:lang w:val="en-US" w:eastAsia="zh-CN"/>
              </w:rPr>
              <w:t>名称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6412" w:type="dxa"/>
            <w:gridSpan w:val="3"/>
            <w:noWrap w:val="0"/>
            <w:vAlign w:val="top"/>
          </w:tcPr>
          <w:p w14:paraId="41FD0ED0">
            <w:pPr>
              <w:spacing w:line="440" w:lineRule="exact"/>
            </w:pPr>
          </w:p>
        </w:tc>
      </w:tr>
      <w:tr w14:paraId="2C798C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116" w:type="dxa"/>
            <w:noWrap w:val="0"/>
            <w:vAlign w:val="top"/>
          </w:tcPr>
          <w:p w14:paraId="0083C53E">
            <w:pPr>
              <w:spacing w:line="440" w:lineRule="exact"/>
            </w:pPr>
            <w:r>
              <w:rPr>
                <w:rFonts w:hint="eastAsia"/>
                <w:lang w:eastAsia="zh-CN"/>
              </w:rPr>
              <w:t>申办者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6412" w:type="dxa"/>
            <w:gridSpan w:val="3"/>
            <w:noWrap w:val="0"/>
            <w:vAlign w:val="top"/>
          </w:tcPr>
          <w:p w14:paraId="6E05961B">
            <w:pPr>
              <w:spacing w:line="440" w:lineRule="exact"/>
            </w:pPr>
          </w:p>
        </w:tc>
      </w:tr>
      <w:tr w14:paraId="65E2B6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6" w:type="dxa"/>
            <w:noWrap w:val="0"/>
            <w:vAlign w:val="top"/>
          </w:tcPr>
          <w:p w14:paraId="2381FC79"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牵头单位</w:t>
            </w:r>
          </w:p>
        </w:tc>
        <w:tc>
          <w:tcPr>
            <w:tcW w:w="6412" w:type="dxa"/>
            <w:gridSpan w:val="3"/>
            <w:noWrap w:val="0"/>
            <w:vAlign w:val="top"/>
          </w:tcPr>
          <w:p w14:paraId="2620436C">
            <w:pPr>
              <w:spacing w:line="440" w:lineRule="exact"/>
            </w:pPr>
          </w:p>
        </w:tc>
      </w:tr>
      <w:tr w14:paraId="682CF0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6" w:type="dxa"/>
            <w:noWrap w:val="0"/>
            <w:vAlign w:val="top"/>
          </w:tcPr>
          <w:p w14:paraId="7C9F19E2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项目负责人</w:t>
            </w:r>
          </w:p>
        </w:tc>
        <w:tc>
          <w:tcPr>
            <w:tcW w:w="2147" w:type="dxa"/>
            <w:noWrap w:val="0"/>
            <w:vAlign w:val="top"/>
          </w:tcPr>
          <w:p w14:paraId="6ECC223B">
            <w:pPr>
              <w:spacing w:line="360" w:lineRule="auto"/>
            </w:pPr>
          </w:p>
        </w:tc>
        <w:tc>
          <w:tcPr>
            <w:tcW w:w="2155" w:type="dxa"/>
            <w:noWrap w:val="0"/>
            <w:vAlign w:val="top"/>
          </w:tcPr>
          <w:p w14:paraId="757AAFA2">
            <w:pPr>
              <w:spacing w:line="360" w:lineRule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科室</w:t>
            </w:r>
          </w:p>
        </w:tc>
        <w:tc>
          <w:tcPr>
            <w:tcW w:w="2110" w:type="dxa"/>
            <w:noWrap w:val="0"/>
            <w:vAlign w:val="top"/>
          </w:tcPr>
          <w:p w14:paraId="5D130D46">
            <w:pPr>
              <w:spacing w:line="360" w:lineRule="auto"/>
            </w:pPr>
          </w:p>
        </w:tc>
      </w:tr>
      <w:tr w14:paraId="0F709D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6" w:type="dxa"/>
            <w:noWrap w:val="0"/>
            <w:vAlign w:val="top"/>
          </w:tcPr>
          <w:p w14:paraId="52935F53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批准的跟踪审查频率 </w:t>
            </w:r>
          </w:p>
        </w:tc>
        <w:tc>
          <w:tcPr>
            <w:tcW w:w="2147" w:type="dxa"/>
            <w:noWrap w:val="0"/>
            <w:vAlign w:val="top"/>
          </w:tcPr>
          <w:p w14:paraId="5AB222F0">
            <w:pPr>
              <w:spacing w:line="360" w:lineRule="auto"/>
            </w:pPr>
          </w:p>
        </w:tc>
        <w:tc>
          <w:tcPr>
            <w:tcW w:w="2155" w:type="dxa"/>
            <w:noWrap w:val="0"/>
            <w:vAlign w:val="top"/>
          </w:tcPr>
          <w:p w14:paraId="28521474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批准日期 </w:t>
            </w:r>
          </w:p>
        </w:tc>
        <w:tc>
          <w:tcPr>
            <w:tcW w:w="2110" w:type="dxa"/>
            <w:noWrap w:val="0"/>
            <w:vAlign w:val="top"/>
          </w:tcPr>
          <w:p w14:paraId="1FA05FD6">
            <w:pPr>
              <w:spacing w:line="360" w:lineRule="auto"/>
            </w:pPr>
          </w:p>
        </w:tc>
      </w:tr>
      <w:tr w14:paraId="5B2362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6" w:type="dxa"/>
            <w:noWrap w:val="0"/>
            <w:vAlign w:val="top"/>
          </w:tcPr>
          <w:p w14:paraId="41251060">
            <w:pPr>
              <w:spacing w:line="440" w:lineRule="exact"/>
            </w:pPr>
            <w:r>
              <w:rPr>
                <w:rFonts w:hint="eastAsia"/>
              </w:rPr>
              <w:t xml:space="preserve">批件号 </w:t>
            </w:r>
          </w:p>
        </w:tc>
        <w:tc>
          <w:tcPr>
            <w:tcW w:w="2147" w:type="dxa"/>
            <w:noWrap w:val="0"/>
            <w:vAlign w:val="top"/>
          </w:tcPr>
          <w:p w14:paraId="22F6DA1E">
            <w:pPr>
              <w:spacing w:line="440" w:lineRule="exact"/>
            </w:pPr>
          </w:p>
        </w:tc>
        <w:tc>
          <w:tcPr>
            <w:tcW w:w="2155" w:type="dxa"/>
            <w:noWrap w:val="0"/>
            <w:vAlign w:val="top"/>
          </w:tcPr>
          <w:p w14:paraId="218487B7">
            <w:pPr>
              <w:spacing w:line="440" w:lineRule="exact"/>
            </w:pPr>
            <w:r>
              <w:rPr>
                <w:rFonts w:hint="eastAsia"/>
              </w:rPr>
              <w:t>主审委员</w:t>
            </w:r>
          </w:p>
        </w:tc>
        <w:tc>
          <w:tcPr>
            <w:tcW w:w="2110" w:type="dxa"/>
            <w:noWrap w:val="0"/>
            <w:vAlign w:val="top"/>
          </w:tcPr>
          <w:p w14:paraId="7927F092">
            <w:pPr>
              <w:spacing w:line="440" w:lineRule="exact"/>
            </w:pPr>
          </w:p>
        </w:tc>
      </w:tr>
    </w:tbl>
    <w:p w14:paraId="031997E8">
      <w:pPr>
        <w:pStyle w:val="6"/>
        <w:numPr>
          <w:ilvl w:val="0"/>
          <w:numId w:val="1"/>
        </w:numPr>
        <w:spacing w:line="440" w:lineRule="exact"/>
        <w:ind w:firstLineChars="0"/>
        <w:rPr>
          <w:b/>
        </w:rPr>
      </w:pPr>
      <w:r>
        <w:rPr>
          <w:rFonts w:hint="eastAsia"/>
          <w:b/>
        </w:rPr>
        <w:t>不良事件的判断</w:t>
      </w:r>
    </w:p>
    <w:p w14:paraId="41AC74F1">
      <w:pPr>
        <w:pStyle w:val="6"/>
        <w:numPr>
          <w:ilvl w:val="0"/>
          <w:numId w:val="2"/>
        </w:numPr>
        <w:spacing w:line="440" w:lineRule="exact"/>
        <w:ind w:firstLineChars="0"/>
      </w:pPr>
      <w:r>
        <w:rPr>
          <w:rFonts w:hint="eastAsia"/>
        </w:rPr>
        <w:t>不良事件程度的判断：</w:t>
      </w:r>
      <w:r>
        <w:rPr>
          <w:rFonts w:hint="eastAsia" w:ascii="宋体" w:hAnsi="宋体"/>
        </w:rPr>
        <w:t>□</w:t>
      </w:r>
      <w:r>
        <w:rPr>
          <w:rFonts w:hint="eastAsia" w:ascii="华文楷体" w:hAnsi="华文楷体" w:eastAsia="华文楷体"/>
        </w:rPr>
        <w:t>严重</w:t>
      </w:r>
      <w:r>
        <w:rPr>
          <w:rFonts w:hint="eastAsia"/>
        </w:rPr>
        <w:t>；</w:t>
      </w:r>
      <w:r>
        <w:t xml:space="preserve">   </w:t>
      </w:r>
      <w:r>
        <w:rPr>
          <w:rFonts w:hint="eastAsia" w:ascii="宋体" w:hAnsi="宋体"/>
        </w:rPr>
        <w:t>□</w:t>
      </w:r>
      <w:r>
        <w:rPr>
          <w:rFonts w:hint="eastAsia" w:ascii="华文楷体" w:hAnsi="华文楷体" w:eastAsia="华文楷体"/>
        </w:rPr>
        <w:t>非严重</w:t>
      </w:r>
    </w:p>
    <w:p w14:paraId="2D9E32EC">
      <w:pPr>
        <w:pStyle w:val="6"/>
        <w:numPr>
          <w:ilvl w:val="0"/>
          <w:numId w:val="2"/>
        </w:numPr>
        <w:spacing w:line="440" w:lineRule="exact"/>
        <w:ind w:firstLineChars="0"/>
      </w:pPr>
      <w:r>
        <w:rPr>
          <w:rFonts w:hint="eastAsia"/>
        </w:rPr>
        <w:t>严重不良事件与研究干预相关性的判断：</w:t>
      </w:r>
      <w:r>
        <w:rPr>
          <w:rFonts w:hint="eastAsia" w:ascii="宋体" w:hAnsi="宋体"/>
        </w:rPr>
        <w:t>□</w:t>
      </w:r>
      <w:r>
        <w:rPr>
          <w:rFonts w:hint="eastAsia" w:ascii="华文楷体" w:hAnsi="华文楷体" w:eastAsia="华文楷体"/>
        </w:rPr>
        <w:t>相关</w:t>
      </w:r>
      <w:r>
        <w:rPr>
          <w:rFonts w:hint="eastAsia"/>
        </w:rPr>
        <w:t>；</w:t>
      </w:r>
      <w:r>
        <w:t xml:space="preserve">   </w:t>
      </w:r>
      <w:r>
        <w:rPr>
          <w:rFonts w:hint="eastAsia" w:ascii="宋体" w:hAnsi="宋体"/>
        </w:rPr>
        <w:t>□</w:t>
      </w:r>
      <w:r>
        <w:rPr>
          <w:rFonts w:hint="eastAsia" w:ascii="华文楷体" w:hAnsi="华文楷体" w:eastAsia="华文楷体"/>
        </w:rPr>
        <w:t>不相关</w:t>
      </w:r>
      <w:r>
        <w:rPr>
          <w:rFonts w:hint="eastAsia"/>
        </w:rPr>
        <w:t>；</w:t>
      </w:r>
      <w:r>
        <w:t xml:space="preserve">    </w:t>
      </w:r>
      <w:r>
        <w:rPr>
          <w:rFonts w:hint="eastAsia" w:ascii="宋体" w:hAnsi="宋体"/>
        </w:rPr>
        <w:t>□</w:t>
      </w:r>
      <w:r>
        <w:rPr>
          <w:rFonts w:hint="eastAsia" w:ascii="华文楷体" w:hAnsi="华文楷体" w:eastAsia="华文楷体"/>
        </w:rPr>
        <w:t>无法判断</w:t>
      </w:r>
    </w:p>
    <w:p w14:paraId="2A3050AA">
      <w:pPr>
        <w:pStyle w:val="6"/>
        <w:numPr>
          <w:ilvl w:val="0"/>
          <w:numId w:val="2"/>
        </w:numPr>
        <w:spacing w:line="440" w:lineRule="exact"/>
        <w:ind w:firstLineChars="0"/>
      </w:pPr>
      <w:r>
        <w:rPr>
          <w:rFonts w:hint="eastAsia"/>
        </w:rPr>
        <w:t>严重不良事件是否预期的判断：</w:t>
      </w:r>
      <w:r>
        <w:rPr>
          <w:rFonts w:hint="eastAsia" w:ascii="宋体" w:hAnsi="宋体"/>
        </w:rPr>
        <w:t>□</w:t>
      </w:r>
      <w:r>
        <w:rPr>
          <w:rFonts w:hint="eastAsia" w:ascii="华文楷体" w:hAnsi="华文楷体" w:eastAsia="华文楷体"/>
        </w:rPr>
        <w:t>预期</w:t>
      </w:r>
      <w:r>
        <w:rPr>
          <w:rFonts w:hint="eastAsia"/>
        </w:rPr>
        <w:t>；</w:t>
      </w:r>
      <w:r>
        <w:t xml:space="preserve">   </w:t>
      </w:r>
      <w:r>
        <w:rPr>
          <w:rFonts w:hint="eastAsia" w:ascii="宋体" w:hAnsi="宋体"/>
        </w:rPr>
        <w:t>□</w:t>
      </w:r>
      <w:r>
        <w:rPr>
          <w:rFonts w:hint="eastAsia" w:ascii="华文楷体" w:hAnsi="华文楷体" w:eastAsia="华文楷体"/>
        </w:rPr>
        <w:t>非预期</w:t>
      </w:r>
    </w:p>
    <w:p w14:paraId="2D18362B">
      <w:pPr>
        <w:spacing w:line="240" w:lineRule="exact"/>
      </w:pPr>
    </w:p>
    <w:p w14:paraId="4145461F">
      <w:pPr>
        <w:pStyle w:val="6"/>
        <w:numPr>
          <w:ilvl w:val="0"/>
          <w:numId w:val="1"/>
        </w:numPr>
        <w:spacing w:line="440" w:lineRule="exact"/>
        <w:ind w:firstLineChars="0"/>
        <w:rPr>
          <w:b/>
        </w:rPr>
      </w:pPr>
      <w:r>
        <w:rPr>
          <w:rFonts w:hint="eastAsia"/>
          <w:b/>
        </w:rPr>
        <w:t>审查要素</w:t>
      </w:r>
    </w:p>
    <w:p w14:paraId="33DB37E9">
      <w:pPr>
        <w:pStyle w:val="6"/>
        <w:numPr>
          <w:ilvl w:val="0"/>
          <w:numId w:val="2"/>
        </w:numPr>
        <w:spacing w:line="440" w:lineRule="exact"/>
        <w:ind w:firstLineChars="0"/>
      </w:pPr>
      <w:r>
        <w:rPr>
          <w:rFonts w:hint="eastAsia"/>
        </w:rPr>
        <w:t>严重不良事件是否影响研究预期风险与受益的判断：</w:t>
      </w:r>
      <w:r>
        <w:rPr>
          <w:rFonts w:hint="eastAsia" w:ascii="宋体" w:hAnsi="宋体"/>
        </w:rPr>
        <w:t>□</w:t>
      </w:r>
      <w:r>
        <w:rPr>
          <w:rFonts w:hint="eastAsia" w:ascii="华文楷体" w:hAnsi="华文楷体" w:eastAsia="华文楷体"/>
        </w:rPr>
        <w:t>是</w:t>
      </w:r>
      <w:r>
        <w:rPr>
          <w:rFonts w:hint="eastAsia"/>
        </w:rPr>
        <w:t>；</w:t>
      </w:r>
      <w:r>
        <w:t xml:space="preserve">    </w:t>
      </w:r>
      <w:r>
        <w:rPr>
          <w:rFonts w:hint="eastAsia" w:ascii="宋体" w:hAnsi="宋体"/>
        </w:rPr>
        <w:t>□</w:t>
      </w:r>
      <w:r>
        <w:rPr>
          <w:rFonts w:hint="eastAsia" w:ascii="华文楷体" w:hAnsi="华文楷体" w:eastAsia="华文楷体"/>
        </w:rPr>
        <w:t>否</w:t>
      </w:r>
    </w:p>
    <w:p w14:paraId="674CB90C">
      <w:pPr>
        <w:pStyle w:val="6"/>
        <w:numPr>
          <w:ilvl w:val="0"/>
          <w:numId w:val="2"/>
        </w:numPr>
        <w:spacing w:line="440" w:lineRule="exact"/>
        <w:ind w:firstLineChars="0"/>
      </w:pPr>
      <w:r>
        <w:rPr>
          <w:rFonts w:hint="eastAsia"/>
        </w:rPr>
        <w:t>受损伤的受试者的医疗保护措施是否合理：</w:t>
      </w:r>
      <w:r>
        <w:rPr>
          <w:rFonts w:hint="eastAsia" w:ascii="宋体" w:hAnsi="宋体"/>
        </w:rPr>
        <w:t>□</w:t>
      </w:r>
      <w:r>
        <w:rPr>
          <w:rFonts w:hint="eastAsia" w:ascii="华文楷体" w:hAnsi="华文楷体" w:eastAsia="华文楷体"/>
        </w:rPr>
        <w:t>是</w:t>
      </w:r>
      <w:r>
        <w:rPr>
          <w:rFonts w:hint="eastAsia"/>
        </w:rPr>
        <w:t>；</w:t>
      </w:r>
      <w:r>
        <w:t xml:space="preserve">    </w:t>
      </w:r>
      <w:r>
        <w:rPr>
          <w:rFonts w:hint="eastAsia" w:ascii="宋体" w:hAnsi="宋体"/>
        </w:rPr>
        <w:t>□</w:t>
      </w:r>
      <w:r>
        <w:rPr>
          <w:rFonts w:hint="eastAsia" w:ascii="华文楷体" w:hAnsi="华文楷体" w:eastAsia="华文楷体"/>
        </w:rPr>
        <w:t>否</w:t>
      </w:r>
    </w:p>
    <w:p w14:paraId="710391E9">
      <w:pPr>
        <w:pStyle w:val="6"/>
        <w:numPr>
          <w:ilvl w:val="0"/>
          <w:numId w:val="2"/>
        </w:numPr>
        <w:spacing w:line="440" w:lineRule="exact"/>
        <w:ind w:firstLineChars="0"/>
      </w:pPr>
      <w:r>
        <w:rPr>
          <w:rFonts w:hint="eastAsia"/>
        </w:rPr>
        <w:t>其他受试者的医疗保护是否合理：</w:t>
      </w:r>
      <w:r>
        <w:rPr>
          <w:rFonts w:hint="eastAsia" w:ascii="宋体" w:hAnsi="宋体"/>
        </w:rPr>
        <w:t>□</w:t>
      </w:r>
      <w:r>
        <w:rPr>
          <w:rFonts w:hint="eastAsia" w:ascii="华文楷体" w:hAnsi="华文楷体" w:eastAsia="华文楷体"/>
        </w:rPr>
        <w:t>是</w:t>
      </w:r>
      <w:r>
        <w:rPr>
          <w:rFonts w:hint="eastAsia"/>
        </w:rPr>
        <w:t>；</w:t>
      </w:r>
      <w:r>
        <w:t xml:space="preserve">    </w:t>
      </w:r>
      <w:r>
        <w:rPr>
          <w:rFonts w:hint="eastAsia" w:ascii="宋体" w:hAnsi="宋体"/>
        </w:rPr>
        <w:t>□</w:t>
      </w:r>
      <w:r>
        <w:rPr>
          <w:rFonts w:hint="eastAsia" w:ascii="华文楷体" w:hAnsi="华文楷体" w:eastAsia="华文楷体"/>
        </w:rPr>
        <w:t>否</w:t>
      </w:r>
    </w:p>
    <w:p w14:paraId="3D68C126">
      <w:pPr>
        <w:pStyle w:val="6"/>
        <w:numPr>
          <w:ilvl w:val="0"/>
          <w:numId w:val="2"/>
        </w:numPr>
        <w:spacing w:line="440" w:lineRule="exact"/>
        <w:ind w:firstLineChars="0"/>
      </w:pPr>
      <w:r>
        <w:rPr>
          <w:rFonts w:hint="eastAsia"/>
        </w:rPr>
        <w:t>是否需要修改方案或知情同意书：</w:t>
      </w:r>
      <w:r>
        <w:rPr>
          <w:rFonts w:hint="eastAsia" w:ascii="宋体" w:hAnsi="宋体"/>
        </w:rPr>
        <w:t>□</w:t>
      </w:r>
      <w:r>
        <w:rPr>
          <w:rFonts w:hint="eastAsia" w:ascii="华文楷体" w:hAnsi="华文楷体" w:eastAsia="华文楷体"/>
        </w:rPr>
        <w:t>是</w:t>
      </w:r>
      <w:r>
        <w:rPr>
          <w:rFonts w:hint="eastAsia"/>
        </w:rPr>
        <w:t>；</w:t>
      </w:r>
      <w:r>
        <w:t xml:space="preserve">    </w:t>
      </w:r>
      <w:r>
        <w:rPr>
          <w:rFonts w:hint="eastAsia" w:ascii="宋体" w:hAnsi="宋体"/>
        </w:rPr>
        <w:t>□</w:t>
      </w:r>
      <w:r>
        <w:rPr>
          <w:rFonts w:hint="eastAsia" w:ascii="华文楷体" w:hAnsi="华文楷体" w:eastAsia="华文楷体"/>
        </w:rPr>
        <w:t>否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2192"/>
        <w:gridCol w:w="2176"/>
        <w:gridCol w:w="2176"/>
      </w:tblGrid>
      <w:tr w14:paraId="2098C3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FC217D">
            <w:pPr>
              <w:rPr>
                <w:rFonts w:ascii="黑体" w:hAnsi="黑体" w:eastAsia="黑体"/>
                <w:b/>
                <w:szCs w:val="22"/>
              </w:rPr>
            </w:pPr>
            <w:r>
              <w:rPr>
                <w:rFonts w:hint="eastAsia" w:ascii="黑体" w:hAnsi="黑体" w:eastAsia="黑体"/>
                <w:b/>
              </w:rPr>
              <w:t>审查意见：</w:t>
            </w:r>
          </w:p>
        </w:tc>
      </w:tr>
      <w:tr w14:paraId="297656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530BFA">
            <w:r>
              <w:rPr>
                <w:rFonts w:hint="eastAsia"/>
              </w:rPr>
              <w:t>建议：</w:t>
            </w:r>
          </w:p>
          <w:p w14:paraId="0AB56A2F"/>
          <w:p w14:paraId="6820B97B">
            <w:pPr>
              <w:rPr>
                <w:rFonts w:ascii="Calibri" w:hAnsi="Calibri"/>
                <w:szCs w:val="22"/>
              </w:rPr>
            </w:pPr>
          </w:p>
        </w:tc>
      </w:tr>
      <w:tr w14:paraId="3E1E78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5C6D91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 xml:space="preserve">批准         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 xml:space="preserve">修改后批准         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 xml:space="preserve">暂停或终止研究       </w:t>
            </w:r>
            <w:r>
              <w:rPr>
                <w:rFonts w:hint="eastAsia" w:ascii="宋体" w:hAnsi="宋体"/>
              </w:rPr>
              <w:sym w:font="Wingdings 2" w:char="00A3"/>
            </w:r>
            <w:r>
              <w:rPr>
                <w:rFonts w:hint="eastAsia" w:ascii="宋体" w:hAnsi="宋体"/>
              </w:rPr>
              <w:t>提交会议审查</w:t>
            </w:r>
          </w:p>
        </w:tc>
      </w:tr>
      <w:tr w14:paraId="5DBF83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2A4176">
            <w:pPr>
              <w:spacing w:line="440" w:lineRule="exact"/>
              <w:rPr>
                <w:rFonts w:ascii="Calibri" w:hAnsi="Calibri"/>
                <w:szCs w:val="22"/>
              </w:rPr>
            </w:pPr>
            <w:r>
              <w:rPr>
                <w:rFonts w:hint="eastAsia"/>
              </w:rPr>
              <w:t>跟踪审查频率</w:t>
            </w:r>
            <w:r>
              <w:t xml:space="preserve"> 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FE3298">
            <w:pPr>
              <w:spacing w:line="440" w:lineRule="exact"/>
              <w:rPr>
                <w:rFonts w:ascii="Calibri" w:hAnsi="Calibri"/>
                <w:szCs w:val="22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>不变；</w:t>
            </w:r>
            <w:r>
              <w:t xml:space="preserve">   </w:t>
            </w:r>
            <w:r>
              <w:rPr>
                <w:rFonts w:hint="eastAsia" w:ascii="宋体" w:hAnsi="宋体"/>
              </w:rPr>
              <w:t>□改变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FEF1C6">
            <w:pPr>
              <w:spacing w:line="440" w:lineRule="exact"/>
              <w:rPr>
                <w:rFonts w:ascii="Calibri" w:hAnsi="Calibri"/>
                <w:szCs w:val="22"/>
              </w:rPr>
            </w:pPr>
            <w:r>
              <w:rPr>
                <w:rFonts w:hint="eastAsia"/>
              </w:rPr>
              <w:t>修正跟踪审查频率</w:t>
            </w:r>
            <w:r>
              <w:t xml:space="preserve"> 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061B4E">
            <w:pPr>
              <w:spacing w:line="440" w:lineRule="exact"/>
              <w:rPr>
                <w:rFonts w:ascii="Calibri" w:hAnsi="Calibri"/>
                <w:szCs w:val="22"/>
              </w:rPr>
            </w:pPr>
            <w:r>
              <w:rPr>
                <w:u w:val="single"/>
              </w:rPr>
              <w:t xml:space="preserve">     </w:t>
            </w:r>
            <w:r>
              <w:rPr>
                <w:rFonts w:hint="eastAsia"/>
              </w:rPr>
              <w:t>个月</w:t>
            </w:r>
          </w:p>
        </w:tc>
      </w:tr>
      <w:tr w14:paraId="36895F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0A5176">
            <w:pPr>
              <w:spacing w:line="440" w:lineRule="exact"/>
              <w:rPr>
                <w:rFonts w:ascii="Calibri" w:hAnsi="Calibri"/>
                <w:szCs w:val="22"/>
              </w:rPr>
            </w:pPr>
            <w:r>
              <w:rPr>
                <w:rFonts w:hint="eastAsia"/>
              </w:rPr>
              <w:t>主审委员声明</w:t>
            </w:r>
          </w:p>
        </w:tc>
        <w:tc>
          <w:tcPr>
            <w:tcW w:w="6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28E345">
            <w:pPr>
              <w:spacing w:line="440" w:lineRule="exact"/>
              <w:rPr>
                <w:rFonts w:ascii="华文楷体" w:hAnsi="华文楷体" w:eastAsia="华文楷体"/>
                <w:szCs w:val="22"/>
              </w:rPr>
            </w:pPr>
            <w:r>
              <w:rPr>
                <w:rFonts w:hint="eastAsia" w:ascii="华文楷体" w:hAnsi="华文楷体" w:eastAsia="华文楷体"/>
              </w:rPr>
              <w:t>作为审查人员，我与该研究项目之间不存在相关的利益冲突。</w:t>
            </w:r>
          </w:p>
        </w:tc>
      </w:tr>
      <w:tr w14:paraId="275C9C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5394C">
            <w:pPr>
              <w:spacing w:line="440" w:lineRule="exact"/>
              <w:rPr>
                <w:rFonts w:ascii="Calibri" w:hAnsi="Calibri"/>
                <w:szCs w:val="22"/>
              </w:rPr>
            </w:pPr>
            <w:r>
              <w:rPr>
                <w:rFonts w:hint="eastAsia"/>
              </w:rPr>
              <w:t>主审委员签名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5B678">
            <w:pPr>
              <w:spacing w:line="440" w:lineRule="exact"/>
              <w:rPr>
                <w:rFonts w:ascii="Calibri" w:hAnsi="Calibri"/>
                <w:szCs w:val="22"/>
              </w:rPr>
            </w:pP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70357">
            <w:pPr>
              <w:spacing w:line="440" w:lineRule="exact"/>
              <w:rPr>
                <w:rFonts w:ascii="Calibri" w:hAnsi="Calibri"/>
                <w:szCs w:val="22"/>
              </w:rPr>
            </w:pPr>
            <w:r>
              <w:rPr>
                <w:rFonts w:hint="eastAsia"/>
              </w:rPr>
              <w:t>日期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ECCAA">
            <w:pPr>
              <w:spacing w:line="440" w:lineRule="exact"/>
              <w:rPr>
                <w:rFonts w:ascii="Calibri" w:hAnsi="Calibri"/>
                <w:szCs w:val="22"/>
              </w:rPr>
            </w:pPr>
          </w:p>
        </w:tc>
      </w:tr>
      <w:tr w14:paraId="3603DB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FE2B3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hint="eastAsia"/>
              </w:rPr>
              <w:t>主任委员签名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EA2FA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68F64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hint="eastAsia"/>
              </w:rPr>
              <w:t>日期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86D4E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</w:tr>
    </w:tbl>
    <w:p w14:paraId="54FBD88C">
      <w:bookmarkStart w:id="0" w:name="_GoBack"/>
      <w:bookmarkEnd w:id="0"/>
    </w:p>
    <w:sectPr>
      <w:pgSz w:w="11906" w:h="16838"/>
      <w:pgMar w:top="1474" w:right="1701" w:bottom="147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D66071"/>
    <w:multiLevelType w:val="multilevel"/>
    <w:tmpl w:val="58D66071"/>
    <w:lvl w:ilvl="0" w:tentative="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B047A1"/>
    <w:multiLevelType w:val="multilevel"/>
    <w:tmpl w:val="69B047A1"/>
    <w:lvl w:ilvl="0" w:tentative="0">
      <w:start w:val="1"/>
      <w:numFmt w:val="bullet"/>
      <w:lvlText w:val="-"/>
      <w:lvlJc w:val="left"/>
      <w:pPr>
        <w:ind w:left="555" w:hanging="360"/>
      </w:pPr>
      <w:rPr>
        <w:rFonts w:hint="default" w:ascii="Calibri" w:hAnsi="Calibri" w:eastAsia="宋体" w:cs="Calibri"/>
      </w:rPr>
    </w:lvl>
    <w:lvl w:ilvl="1" w:tentative="0">
      <w:start w:val="1"/>
      <w:numFmt w:val="bullet"/>
      <w:lvlText w:val=""/>
      <w:lvlJc w:val="left"/>
      <w:pPr>
        <w:ind w:left="103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5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87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9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71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13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5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75" w:hanging="42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291C61"/>
    <w:rsid w:val="216F3E00"/>
    <w:rsid w:val="2EEF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5"/>
    <w:qFormat/>
    <w:uiPriority w:val="0"/>
    <w:pPr>
      <w:spacing w:before="214"/>
      <w:ind w:left="660"/>
      <w:outlineLvl w:val="0"/>
    </w:pPr>
    <w:rPr>
      <w:rFonts w:ascii="仿宋" w:hAnsi="仿宋" w:eastAsia="黑体" w:cs="仿宋"/>
      <w:sz w:val="32"/>
      <w:szCs w:val="32"/>
      <w:lang w:val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4"/>
    <w:link w:val="2"/>
    <w:qFormat/>
    <w:uiPriority w:val="9"/>
    <w:rPr>
      <w:rFonts w:ascii="仿宋" w:hAnsi="仿宋" w:eastAsia="黑体" w:cs="仿宋"/>
      <w:kern w:val="0"/>
      <w:sz w:val="32"/>
      <w:szCs w:val="32"/>
      <w:lang w:val="zh-CN" w:bidi="zh-CN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2023-10-16T00:54:00Z</dcterms:created>
  <dc:creator>Lenovo</dc:creator>
  <cp:lastModifiedBy>Lenovo</cp:lastModifiedBy>
  <dcterms:modified xsi:type="dcterms:W3CDTF">2025-08-14T03:20:57Z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7DF9BF03A2F54256866C286BF36F2E64_12</vt:lpwstr>
  </property>
  <property fmtid="{D5CDD505-2E9C-101B-9397-08002B2CF9AE}" pid="4" name="KSOTemplateDocerSaveRecord">
    <vt:lpwstr>eyJoZGlkIjoiMTgwM2YxZWY0YzY4NjIyMGRjMzYxMjQyMzdiYWQ3NzQifQ==</vt:lpwstr>
  </property>
</Properties>
</file>