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F0AF1">
      <w:pPr>
        <w:widowControl/>
        <w:spacing w:line="360" w:lineRule="auto"/>
        <w:jc w:val="left"/>
        <w:rPr>
          <w:rFonts w:hint="eastAsia" w:ascii="黑体" w:hAnsi="黑体" w:eastAsia="黑体"/>
          <w:b/>
        </w:rPr>
      </w:pPr>
      <w:r>
        <w:rPr>
          <w:rFonts w:hint="eastAsia" w:ascii="黑体" w:hAnsi="黑体" w:eastAsia="黑体"/>
          <w:b/>
        </w:rPr>
        <w:t>附件编号：</w:t>
      </w:r>
      <w:r>
        <w:rPr>
          <w:rFonts w:hint="eastAsia" w:ascii="黑体" w:hAnsi="黑体" w:eastAsia="黑体"/>
          <w:b/>
          <w:color w:val="000000"/>
          <w:szCs w:val="21"/>
        </w:rPr>
        <w:t>SOP-LLWYH-023-05-R</w:t>
      </w:r>
      <w:r>
        <w:rPr>
          <w:rFonts w:hint="eastAsia" w:ascii="黑体" w:hAnsi="黑体" w:eastAsia="黑体"/>
          <w:b/>
          <w:color w:val="000000"/>
          <w:szCs w:val="21"/>
          <w:vertAlign w:val="subscript"/>
        </w:rPr>
        <w:t>1</w:t>
      </w:r>
    </w:p>
    <w:p w14:paraId="163D7A67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Times New Roman"/>
          <w:b w:val="0"/>
          <w:color w:val="000000"/>
          <w:sz w:val="36"/>
          <w:szCs w:val="36"/>
        </w:rPr>
        <w:t>可疑且非预期严重不良反应</w:t>
      </w:r>
      <w:r>
        <w:rPr>
          <w:rFonts w:hint="eastAsia" w:ascii="黑体" w:hAnsi="黑体" w:eastAsia="黑体" w:cs="Times New Roman"/>
          <w:sz w:val="36"/>
          <w:szCs w:val="36"/>
        </w:rPr>
        <w:t>审查工作表</w:t>
      </w:r>
    </w:p>
    <w:tbl>
      <w:tblPr>
        <w:tblStyle w:val="3"/>
        <w:tblW w:w="87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147"/>
        <w:gridCol w:w="2155"/>
        <w:gridCol w:w="2110"/>
      </w:tblGrid>
      <w:tr w14:paraId="72A7F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533812E3">
            <w:pPr>
              <w:spacing w:line="440" w:lineRule="exact"/>
            </w:pPr>
            <w:r>
              <w:rPr>
                <w:rFonts w:hint="eastAsia"/>
              </w:rPr>
              <w:t xml:space="preserve">项目 </w:t>
            </w:r>
          </w:p>
        </w:tc>
        <w:tc>
          <w:tcPr>
            <w:tcW w:w="6412" w:type="dxa"/>
            <w:gridSpan w:val="3"/>
            <w:noWrap w:val="0"/>
            <w:vAlign w:val="top"/>
          </w:tcPr>
          <w:p w14:paraId="40EFE596">
            <w:pPr>
              <w:spacing w:line="440" w:lineRule="exact"/>
            </w:pPr>
          </w:p>
        </w:tc>
      </w:tr>
      <w:tr w14:paraId="08411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116" w:type="dxa"/>
            <w:noWrap w:val="0"/>
            <w:vAlign w:val="top"/>
          </w:tcPr>
          <w:p w14:paraId="6C356538">
            <w:pPr>
              <w:spacing w:line="440" w:lineRule="exact"/>
            </w:pPr>
            <w:r>
              <w:rPr>
                <w:rFonts w:hint="eastAsia"/>
                <w:lang w:eastAsia="zh-CN"/>
              </w:rPr>
              <w:t>申办者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412" w:type="dxa"/>
            <w:gridSpan w:val="3"/>
            <w:noWrap w:val="0"/>
            <w:vAlign w:val="top"/>
          </w:tcPr>
          <w:p w14:paraId="54819C21">
            <w:pPr>
              <w:spacing w:line="440" w:lineRule="exact"/>
            </w:pPr>
          </w:p>
        </w:tc>
      </w:tr>
      <w:tr w14:paraId="35689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244C9EF1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牵头单位</w:t>
            </w:r>
          </w:p>
        </w:tc>
        <w:tc>
          <w:tcPr>
            <w:tcW w:w="6412" w:type="dxa"/>
            <w:gridSpan w:val="3"/>
            <w:noWrap w:val="0"/>
            <w:vAlign w:val="top"/>
          </w:tcPr>
          <w:p w14:paraId="4206CBF3">
            <w:pPr>
              <w:spacing w:line="440" w:lineRule="exact"/>
            </w:pPr>
          </w:p>
        </w:tc>
      </w:tr>
      <w:tr w14:paraId="0C295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203D09E9">
            <w:pPr>
              <w:spacing w:line="440" w:lineRule="exact"/>
            </w:pPr>
            <w:r>
              <w:rPr>
                <w:rFonts w:hint="eastAsia"/>
              </w:rPr>
              <w:t xml:space="preserve">方案版本号  </w:t>
            </w:r>
          </w:p>
        </w:tc>
        <w:tc>
          <w:tcPr>
            <w:tcW w:w="2147" w:type="dxa"/>
            <w:noWrap w:val="0"/>
            <w:vAlign w:val="top"/>
          </w:tcPr>
          <w:p w14:paraId="0A8D8837">
            <w:pPr>
              <w:spacing w:line="440" w:lineRule="exact"/>
            </w:pPr>
          </w:p>
        </w:tc>
        <w:tc>
          <w:tcPr>
            <w:tcW w:w="2155" w:type="dxa"/>
            <w:noWrap w:val="0"/>
            <w:vAlign w:val="top"/>
          </w:tcPr>
          <w:p w14:paraId="68B2F8B6">
            <w:pPr>
              <w:spacing w:line="440" w:lineRule="exact"/>
            </w:pPr>
            <w:r>
              <w:rPr>
                <w:rFonts w:hint="eastAsia"/>
              </w:rPr>
              <w:t xml:space="preserve">方案版本日期 </w:t>
            </w:r>
          </w:p>
        </w:tc>
        <w:tc>
          <w:tcPr>
            <w:tcW w:w="2110" w:type="dxa"/>
            <w:noWrap w:val="0"/>
            <w:vAlign w:val="top"/>
          </w:tcPr>
          <w:p w14:paraId="41DFF4D7">
            <w:pPr>
              <w:spacing w:line="440" w:lineRule="exact"/>
            </w:pPr>
          </w:p>
        </w:tc>
      </w:tr>
      <w:tr w14:paraId="5E8EF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13FD572D">
            <w:pPr>
              <w:spacing w:line="440" w:lineRule="exact"/>
            </w:pPr>
            <w:r>
              <w:rPr>
                <w:rFonts w:hint="eastAsia"/>
              </w:rPr>
              <w:t xml:space="preserve">知情同意书版本号 </w:t>
            </w:r>
          </w:p>
        </w:tc>
        <w:tc>
          <w:tcPr>
            <w:tcW w:w="2147" w:type="dxa"/>
            <w:noWrap w:val="0"/>
            <w:vAlign w:val="top"/>
          </w:tcPr>
          <w:p w14:paraId="652D4CE1">
            <w:pPr>
              <w:spacing w:line="440" w:lineRule="exact"/>
            </w:pPr>
          </w:p>
        </w:tc>
        <w:tc>
          <w:tcPr>
            <w:tcW w:w="2155" w:type="dxa"/>
            <w:noWrap w:val="0"/>
            <w:vAlign w:val="top"/>
          </w:tcPr>
          <w:p w14:paraId="127DB102">
            <w:pPr>
              <w:spacing w:line="440" w:lineRule="exact"/>
            </w:pPr>
            <w:r>
              <w:rPr>
                <w:rFonts w:hint="eastAsia"/>
              </w:rPr>
              <w:t xml:space="preserve">知情同意书版本日期 </w:t>
            </w:r>
          </w:p>
        </w:tc>
        <w:tc>
          <w:tcPr>
            <w:tcW w:w="2110" w:type="dxa"/>
            <w:noWrap w:val="0"/>
            <w:vAlign w:val="top"/>
          </w:tcPr>
          <w:p w14:paraId="2DBFD42B">
            <w:pPr>
              <w:spacing w:line="440" w:lineRule="exact"/>
            </w:pPr>
          </w:p>
        </w:tc>
      </w:tr>
      <w:tr w14:paraId="00210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611A255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批准的跟踪审查频率 </w:t>
            </w:r>
          </w:p>
        </w:tc>
        <w:tc>
          <w:tcPr>
            <w:tcW w:w="2147" w:type="dxa"/>
            <w:noWrap w:val="0"/>
            <w:vAlign w:val="top"/>
          </w:tcPr>
          <w:p w14:paraId="03E3BBCB">
            <w:pPr>
              <w:spacing w:line="360" w:lineRule="auto"/>
            </w:pPr>
          </w:p>
        </w:tc>
        <w:tc>
          <w:tcPr>
            <w:tcW w:w="2155" w:type="dxa"/>
            <w:noWrap w:val="0"/>
            <w:vAlign w:val="top"/>
          </w:tcPr>
          <w:p w14:paraId="18EFF8A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批准日期 </w:t>
            </w:r>
          </w:p>
        </w:tc>
        <w:tc>
          <w:tcPr>
            <w:tcW w:w="2110" w:type="dxa"/>
            <w:noWrap w:val="0"/>
            <w:vAlign w:val="top"/>
          </w:tcPr>
          <w:p w14:paraId="7F28229B">
            <w:pPr>
              <w:spacing w:line="360" w:lineRule="auto"/>
            </w:pPr>
          </w:p>
        </w:tc>
      </w:tr>
      <w:tr w14:paraId="0A282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6283DCBD">
            <w:pPr>
              <w:spacing w:line="440" w:lineRule="exact"/>
            </w:pPr>
            <w:r>
              <w:rPr>
                <w:rFonts w:hint="eastAsia"/>
              </w:rPr>
              <w:t xml:space="preserve">批件号 </w:t>
            </w:r>
          </w:p>
        </w:tc>
        <w:tc>
          <w:tcPr>
            <w:tcW w:w="2147" w:type="dxa"/>
            <w:noWrap w:val="0"/>
            <w:vAlign w:val="top"/>
          </w:tcPr>
          <w:p w14:paraId="658DA623">
            <w:pPr>
              <w:spacing w:line="440" w:lineRule="exact"/>
            </w:pPr>
          </w:p>
        </w:tc>
        <w:tc>
          <w:tcPr>
            <w:tcW w:w="2155" w:type="dxa"/>
            <w:noWrap w:val="0"/>
            <w:vAlign w:val="top"/>
          </w:tcPr>
          <w:p w14:paraId="6A0DEC1B">
            <w:pPr>
              <w:spacing w:line="440" w:lineRule="exact"/>
            </w:pPr>
            <w:r>
              <w:rPr>
                <w:rFonts w:hint="eastAsia"/>
              </w:rPr>
              <w:t>主审委员</w:t>
            </w:r>
          </w:p>
        </w:tc>
        <w:tc>
          <w:tcPr>
            <w:tcW w:w="2110" w:type="dxa"/>
            <w:noWrap w:val="0"/>
            <w:vAlign w:val="top"/>
          </w:tcPr>
          <w:p w14:paraId="09F87363">
            <w:pPr>
              <w:spacing w:line="440" w:lineRule="exact"/>
            </w:pPr>
          </w:p>
        </w:tc>
      </w:tr>
    </w:tbl>
    <w:p w14:paraId="21C02F4A">
      <w:pPr>
        <w:pStyle w:val="6"/>
        <w:spacing w:line="440" w:lineRule="exact"/>
        <w:ind w:firstLine="0" w:firstLineChars="0"/>
        <w:rPr>
          <w:b/>
        </w:rPr>
      </w:pPr>
      <w:r>
        <w:rPr>
          <w:rFonts w:hint="eastAsia"/>
          <w:b/>
        </w:rPr>
        <w:t>一、安全事件的判断</w:t>
      </w:r>
    </w:p>
    <w:p w14:paraId="3B4CBE13">
      <w:pPr>
        <w:pStyle w:val="6"/>
        <w:numPr>
          <w:ilvl w:val="0"/>
          <w:numId w:val="1"/>
        </w:numPr>
        <w:spacing w:line="440" w:lineRule="exact"/>
        <w:ind w:firstLineChars="0"/>
        <w:rPr>
          <w:rFonts w:hint="eastAsia" w:cs="Times New Roman"/>
        </w:rPr>
      </w:pPr>
      <w:r>
        <w:rPr>
          <w:rFonts w:hint="eastAsia"/>
        </w:rPr>
        <w:t>事件程度的判断：</w:t>
      </w:r>
      <w:r>
        <w:rPr>
          <w:rFonts w:hint="eastAsia" w:ascii="Calibri" w:hAnsi="Calibri" w:cs="Times New Roman"/>
        </w:rPr>
        <w:t>□</w:t>
      </w:r>
      <w:r>
        <w:rPr>
          <w:rFonts w:hint="eastAsia" w:ascii="Calibri" w:hAnsi="Calibri" w:eastAsia="宋体" w:cs="Times New Roman"/>
        </w:rPr>
        <w:t>严重</w:t>
      </w:r>
      <w:r>
        <w:rPr>
          <w:rFonts w:hint="eastAsia" w:cs="Times New Roman"/>
        </w:rPr>
        <w:t xml:space="preserve">；   </w:t>
      </w:r>
      <w:r>
        <w:rPr>
          <w:rFonts w:hint="eastAsia" w:ascii="Calibri" w:hAnsi="Calibri" w:cs="Times New Roman"/>
        </w:rPr>
        <w:t>□</w:t>
      </w:r>
      <w:r>
        <w:rPr>
          <w:rFonts w:hint="eastAsia" w:ascii="Calibri" w:hAnsi="Calibri" w:eastAsia="宋体" w:cs="Times New Roman"/>
        </w:rPr>
        <w:t>非严重</w:t>
      </w:r>
    </w:p>
    <w:p w14:paraId="5844CD48">
      <w:pPr>
        <w:pStyle w:val="6"/>
        <w:numPr>
          <w:ilvl w:val="0"/>
          <w:numId w:val="1"/>
        </w:numPr>
        <w:spacing w:line="440" w:lineRule="exact"/>
        <w:ind w:firstLineChars="0"/>
        <w:rPr>
          <w:rFonts w:hint="eastAsia" w:cs="Times New Roman"/>
        </w:rPr>
      </w:pPr>
      <w:r>
        <w:rPr>
          <w:rFonts w:hint="eastAsia" w:cs="Times New Roman"/>
        </w:rPr>
        <w:t>与研究干预相关性的判断：</w:t>
      </w:r>
      <w:r>
        <w:rPr>
          <w:rFonts w:hint="eastAsia" w:ascii="Calibri" w:hAnsi="Calibri" w:cs="Times New Roman"/>
        </w:rPr>
        <w:t>□</w:t>
      </w:r>
      <w:r>
        <w:rPr>
          <w:rFonts w:hint="eastAsia" w:ascii="Calibri" w:hAnsi="Calibri" w:eastAsia="宋体" w:cs="Times New Roman"/>
        </w:rPr>
        <w:t>相关</w:t>
      </w:r>
      <w:r>
        <w:rPr>
          <w:rFonts w:hint="eastAsia" w:cs="Times New Roman"/>
        </w:rPr>
        <w:t xml:space="preserve">；   </w:t>
      </w:r>
      <w:r>
        <w:rPr>
          <w:rFonts w:hint="eastAsia" w:ascii="Calibri" w:hAnsi="Calibri" w:cs="Times New Roman"/>
        </w:rPr>
        <w:t>□</w:t>
      </w:r>
      <w:r>
        <w:rPr>
          <w:rFonts w:hint="eastAsia" w:ascii="Calibri" w:hAnsi="Calibri" w:eastAsia="宋体" w:cs="Times New Roman"/>
        </w:rPr>
        <w:t>不相关</w:t>
      </w:r>
      <w:r>
        <w:rPr>
          <w:rFonts w:hint="eastAsia" w:cs="Times New Roman"/>
        </w:rPr>
        <w:t xml:space="preserve">；    </w:t>
      </w:r>
      <w:r>
        <w:rPr>
          <w:rFonts w:hint="eastAsia" w:ascii="Calibri" w:hAnsi="Calibri" w:cs="Times New Roman"/>
        </w:rPr>
        <w:t>□</w:t>
      </w:r>
      <w:r>
        <w:rPr>
          <w:rFonts w:hint="eastAsia" w:ascii="Calibri" w:hAnsi="Calibri" w:eastAsia="宋体" w:cs="Times New Roman"/>
        </w:rPr>
        <w:t>无法判断</w:t>
      </w:r>
    </w:p>
    <w:p w14:paraId="310CC366">
      <w:pPr>
        <w:pStyle w:val="6"/>
        <w:numPr>
          <w:ilvl w:val="0"/>
          <w:numId w:val="1"/>
        </w:numPr>
        <w:spacing w:line="440" w:lineRule="exact"/>
        <w:ind w:firstLineChars="0"/>
        <w:rPr>
          <w:rFonts w:hint="eastAsia" w:cs="Times New Roman"/>
        </w:rPr>
      </w:pPr>
      <w:r>
        <w:rPr>
          <w:rFonts w:hint="eastAsia" w:cs="Times New Roman"/>
        </w:rPr>
        <w:t>是否预期的判断：</w:t>
      </w:r>
      <w:r>
        <w:rPr>
          <w:rFonts w:hint="eastAsia" w:ascii="Calibri" w:hAnsi="Calibri" w:cs="Times New Roman"/>
        </w:rPr>
        <w:t>□</w:t>
      </w:r>
      <w:r>
        <w:rPr>
          <w:rFonts w:hint="eastAsia" w:ascii="Calibri" w:hAnsi="Calibri" w:eastAsia="宋体" w:cs="Times New Roman"/>
        </w:rPr>
        <w:t>预期</w:t>
      </w:r>
      <w:r>
        <w:rPr>
          <w:rFonts w:hint="eastAsia" w:cs="Times New Roman"/>
        </w:rPr>
        <w:t xml:space="preserve">；   </w:t>
      </w:r>
      <w:r>
        <w:rPr>
          <w:rFonts w:hint="eastAsia" w:ascii="Calibri" w:hAnsi="Calibri" w:cs="Times New Roman"/>
        </w:rPr>
        <w:t>□</w:t>
      </w:r>
      <w:r>
        <w:rPr>
          <w:rFonts w:hint="eastAsia" w:ascii="Calibri" w:hAnsi="Calibri" w:eastAsia="宋体" w:cs="Times New Roman"/>
        </w:rPr>
        <w:t>非预期</w:t>
      </w:r>
    </w:p>
    <w:p w14:paraId="1EA680AC">
      <w:pPr>
        <w:pStyle w:val="6"/>
        <w:numPr>
          <w:numId w:val="0"/>
        </w:numPr>
        <w:spacing w:line="440" w:lineRule="exact"/>
        <w:ind w:leftChars="200"/>
        <w:rPr>
          <w:rFonts w:hint="eastAsia" w:cs="Times New Roman"/>
        </w:rPr>
      </w:pPr>
    </w:p>
    <w:p w14:paraId="46A2F51C">
      <w:pPr>
        <w:pStyle w:val="6"/>
        <w:numPr>
          <w:numId w:val="0"/>
        </w:numPr>
        <w:spacing w:line="440" w:lineRule="exact"/>
        <w:rPr>
          <w:rFonts w:hint="eastAsia" w:cs="Times New Roman"/>
          <w:b/>
          <w:bCs/>
        </w:rPr>
      </w:pPr>
      <w:r>
        <w:rPr>
          <w:rFonts w:hint="eastAsia" w:cs="Times New Roman"/>
          <w:b/>
          <w:bCs/>
        </w:rPr>
        <w:t>二、审查要素</w:t>
      </w:r>
      <w:bookmarkStart w:id="0" w:name="_GoBack"/>
      <w:bookmarkEnd w:id="0"/>
    </w:p>
    <w:p w14:paraId="100AC4FB">
      <w:pPr>
        <w:pStyle w:val="6"/>
        <w:numPr>
          <w:ilvl w:val="0"/>
          <w:numId w:val="1"/>
        </w:numPr>
        <w:spacing w:line="440" w:lineRule="exact"/>
        <w:ind w:firstLineChars="0"/>
        <w:rPr>
          <w:rFonts w:hint="eastAsia" w:cs="Times New Roman"/>
        </w:rPr>
      </w:pPr>
      <w:r>
        <w:rPr>
          <w:rFonts w:hint="eastAsia" w:cs="Times New Roman"/>
        </w:rPr>
        <w:t>是否影响研究预期风险与受益的判断：</w:t>
      </w:r>
      <w:r>
        <w:rPr>
          <w:rFonts w:hint="eastAsia" w:ascii="Calibri" w:hAnsi="Calibri" w:cs="Times New Roman"/>
        </w:rPr>
        <w:t>□</w:t>
      </w:r>
      <w:r>
        <w:rPr>
          <w:rFonts w:hint="eastAsia" w:ascii="Calibri" w:hAnsi="Calibri" w:eastAsia="宋体" w:cs="Times New Roman"/>
        </w:rPr>
        <w:t>是</w:t>
      </w:r>
      <w:r>
        <w:rPr>
          <w:rFonts w:hint="eastAsia" w:cs="Times New Roman"/>
        </w:rPr>
        <w:t xml:space="preserve">；    </w:t>
      </w:r>
      <w:r>
        <w:rPr>
          <w:rFonts w:hint="eastAsia" w:ascii="Calibri" w:hAnsi="Calibri" w:cs="Times New Roman"/>
        </w:rPr>
        <w:t>□</w:t>
      </w:r>
      <w:r>
        <w:rPr>
          <w:rFonts w:hint="eastAsia" w:ascii="Calibri" w:hAnsi="Calibri" w:eastAsia="宋体" w:cs="Times New Roman"/>
        </w:rPr>
        <w:t>否</w:t>
      </w:r>
    </w:p>
    <w:p w14:paraId="6917529C">
      <w:pPr>
        <w:pStyle w:val="6"/>
        <w:numPr>
          <w:ilvl w:val="0"/>
          <w:numId w:val="1"/>
        </w:numPr>
        <w:spacing w:line="440" w:lineRule="exact"/>
        <w:ind w:firstLineChars="0"/>
        <w:rPr>
          <w:rFonts w:hint="eastAsia" w:cs="Times New Roman"/>
        </w:rPr>
      </w:pPr>
      <w:r>
        <w:rPr>
          <w:rFonts w:hint="eastAsia" w:cs="Times New Roman"/>
        </w:rPr>
        <w:t>受损伤的受试者的医疗保护措施是否合理：</w:t>
      </w:r>
      <w:r>
        <w:rPr>
          <w:rFonts w:hint="eastAsia" w:ascii="Calibri" w:hAnsi="Calibri" w:cs="Times New Roman"/>
        </w:rPr>
        <w:t>□</w:t>
      </w:r>
      <w:r>
        <w:rPr>
          <w:rFonts w:hint="eastAsia" w:ascii="Calibri" w:hAnsi="Calibri" w:eastAsia="宋体" w:cs="Times New Roman"/>
        </w:rPr>
        <w:t>是</w:t>
      </w:r>
      <w:r>
        <w:rPr>
          <w:rFonts w:hint="eastAsia" w:cs="Times New Roman"/>
        </w:rPr>
        <w:t xml:space="preserve">；    </w:t>
      </w:r>
      <w:r>
        <w:rPr>
          <w:rFonts w:hint="eastAsia" w:ascii="Calibri" w:hAnsi="Calibri" w:cs="Times New Roman"/>
        </w:rPr>
        <w:t>□</w:t>
      </w:r>
      <w:r>
        <w:rPr>
          <w:rFonts w:hint="eastAsia" w:ascii="Calibri" w:hAnsi="Calibri" w:eastAsia="宋体" w:cs="Times New Roman"/>
        </w:rPr>
        <w:t>否</w:t>
      </w:r>
    </w:p>
    <w:p w14:paraId="2C3F8E9F">
      <w:pPr>
        <w:pStyle w:val="6"/>
        <w:numPr>
          <w:ilvl w:val="0"/>
          <w:numId w:val="1"/>
        </w:numPr>
        <w:spacing w:line="440" w:lineRule="exact"/>
        <w:ind w:firstLineChars="0"/>
        <w:rPr>
          <w:rFonts w:hint="eastAsia" w:cs="Times New Roman"/>
        </w:rPr>
      </w:pPr>
      <w:r>
        <w:rPr>
          <w:rFonts w:hint="eastAsia" w:cs="Times New Roman"/>
        </w:rPr>
        <w:t>其他受试者的医疗保护是否合理：</w:t>
      </w:r>
      <w:r>
        <w:rPr>
          <w:rFonts w:hint="eastAsia" w:cs="Times New Roman"/>
          <w:lang w:eastAsia="zh-CN"/>
        </w:rPr>
        <w:t>□</w:t>
      </w:r>
      <w:r>
        <w:rPr>
          <w:rFonts w:hint="eastAsia" w:ascii="Calibri" w:hAnsi="Calibri" w:eastAsia="宋体" w:cs="Times New Roman"/>
        </w:rPr>
        <w:t>是</w:t>
      </w:r>
      <w:r>
        <w:rPr>
          <w:rFonts w:hint="eastAsia" w:cs="Times New Roman"/>
        </w:rPr>
        <w:t xml:space="preserve">；    </w:t>
      </w:r>
      <w:r>
        <w:rPr>
          <w:rFonts w:hint="eastAsia" w:ascii="Calibri" w:hAnsi="Calibri" w:cs="Times New Roman"/>
        </w:rPr>
        <w:t>□</w:t>
      </w:r>
      <w:r>
        <w:rPr>
          <w:rFonts w:hint="eastAsia" w:ascii="Calibri" w:hAnsi="Calibri" w:eastAsia="宋体" w:cs="Times New Roman"/>
        </w:rPr>
        <w:t>否</w:t>
      </w:r>
    </w:p>
    <w:p w14:paraId="28272B65">
      <w:pPr>
        <w:pStyle w:val="6"/>
        <w:numPr>
          <w:ilvl w:val="0"/>
          <w:numId w:val="1"/>
        </w:numPr>
        <w:spacing w:line="440" w:lineRule="exact"/>
        <w:ind w:firstLineChars="0"/>
        <w:rPr>
          <w:rFonts w:hint="eastAsia" w:cs="Times New Roman"/>
        </w:rPr>
      </w:pPr>
      <w:r>
        <w:rPr>
          <w:rFonts w:hint="eastAsia" w:cs="Times New Roman"/>
        </w:rPr>
        <w:t>是否需要修改方案或知情同意书：</w:t>
      </w:r>
      <w:r>
        <w:rPr>
          <w:rFonts w:hint="eastAsia" w:ascii="Calibri" w:hAnsi="Calibri" w:cs="Times New Roman"/>
        </w:rPr>
        <w:t>□</w:t>
      </w:r>
      <w:r>
        <w:rPr>
          <w:rFonts w:hint="eastAsia" w:ascii="Calibri" w:hAnsi="Calibri" w:eastAsia="宋体" w:cs="Times New Roman"/>
        </w:rPr>
        <w:t>是</w:t>
      </w:r>
      <w:r>
        <w:rPr>
          <w:rFonts w:hint="eastAsia" w:cs="Times New Roman"/>
        </w:rPr>
        <w:t xml:space="preserve">；    </w:t>
      </w:r>
      <w:r>
        <w:rPr>
          <w:rFonts w:hint="eastAsia" w:ascii="Calibri" w:hAnsi="Calibri" w:cs="Times New Roman"/>
        </w:rPr>
        <w:t>□</w:t>
      </w:r>
      <w:r>
        <w:rPr>
          <w:rFonts w:hint="eastAsia" w:ascii="Calibri" w:hAnsi="Calibri" w:eastAsia="宋体" w:cs="Times New Roman"/>
        </w:rPr>
        <w:t>否</w:t>
      </w:r>
    </w:p>
    <w:tbl>
      <w:tblPr>
        <w:tblStyle w:val="3"/>
        <w:tblW w:w="87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92"/>
        <w:gridCol w:w="2176"/>
        <w:gridCol w:w="2176"/>
      </w:tblGrid>
      <w:tr w14:paraId="1D94D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6B07DD">
            <w:pPr>
              <w:rPr>
                <w:rFonts w:ascii="黑体" w:hAnsi="黑体" w:eastAsia="黑体"/>
                <w:b/>
                <w:szCs w:val="22"/>
              </w:rPr>
            </w:pPr>
            <w:r>
              <w:rPr>
                <w:rFonts w:hint="eastAsia" w:ascii="黑体" w:hAnsi="黑体" w:eastAsia="黑体"/>
                <w:b/>
              </w:rPr>
              <w:t>审查意见：</w:t>
            </w:r>
          </w:p>
        </w:tc>
      </w:tr>
      <w:tr w14:paraId="3D137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77A558">
            <w:r>
              <w:rPr>
                <w:rFonts w:hint="eastAsia"/>
              </w:rPr>
              <w:t>建议：</w:t>
            </w:r>
          </w:p>
          <w:p w14:paraId="175AC3C6"/>
          <w:p w14:paraId="34306782">
            <w:pPr>
              <w:rPr>
                <w:rFonts w:ascii="Calibri" w:hAnsi="Calibri"/>
                <w:szCs w:val="22"/>
              </w:rPr>
            </w:pPr>
          </w:p>
        </w:tc>
      </w:tr>
      <w:tr w14:paraId="46734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CD986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  <w:szCs w:val="21"/>
              </w:rPr>
              <w:t xml:space="preserve">批准    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  <w:szCs w:val="21"/>
              </w:rPr>
              <w:t xml:space="preserve">修改后批准         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暂停或终止研究          </w:t>
            </w:r>
            <w:r>
              <w:rPr>
                <w:rFonts w:hint="eastAsia" w:ascii="宋体" w:hAnsi="宋体"/>
              </w:rPr>
              <w:t>□提交会议审查</w:t>
            </w:r>
          </w:p>
        </w:tc>
      </w:tr>
      <w:tr w14:paraId="46B08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1CFC3D">
            <w:pPr>
              <w:spacing w:line="440" w:lineRule="exact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跟踪审查频率</w:t>
            </w:r>
            <w:r>
              <w:t xml:space="preserve"> 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F24869">
            <w:pPr>
              <w:spacing w:line="440" w:lineRule="exact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不变；</w:t>
            </w:r>
            <w:r>
              <w:t xml:space="preserve">   </w:t>
            </w:r>
            <w:r>
              <w:rPr>
                <w:rFonts w:hint="eastAsia" w:ascii="宋体" w:hAnsi="宋体"/>
              </w:rPr>
              <w:t>□改变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65A34F">
            <w:pPr>
              <w:spacing w:line="440" w:lineRule="exact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修正跟踪审查频率</w:t>
            </w:r>
            <w:r>
              <w:t xml:space="preserve"> 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E9DDBE">
            <w:pPr>
              <w:spacing w:line="440" w:lineRule="exact"/>
              <w:rPr>
                <w:rFonts w:ascii="Calibri" w:hAnsi="Calibri"/>
                <w:szCs w:val="22"/>
              </w:rPr>
            </w:pP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个月</w:t>
            </w:r>
          </w:p>
        </w:tc>
      </w:tr>
      <w:tr w14:paraId="7778C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5FAE78">
            <w:pPr>
              <w:spacing w:line="440" w:lineRule="exact"/>
              <w:rPr>
                <w:rFonts w:hint="eastAsia"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主审委员声明</w:t>
            </w:r>
          </w:p>
        </w:tc>
        <w:tc>
          <w:tcPr>
            <w:tcW w:w="6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4CB223">
            <w:pPr>
              <w:spacing w:line="440" w:lineRule="exact"/>
              <w:rPr>
                <w:rFonts w:hint="eastAsia"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作为审查人员，我与该研究项目之间不存在相关的利益冲突。</w:t>
            </w:r>
          </w:p>
        </w:tc>
      </w:tr>
      <w:tr w14:paraId="2CAF4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BF77C">
            <w:pPr>
              <w:spacing w:line="440" w:lineRule="exact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主审委员签名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CC993">
            <w:pPr>
              <w:spacing w:line="440" w:lineRule="exact"/>
              <w:rPr>
                <w:rFonts w:ascii="Calibri" w:hAnsi="Calibri"/>
                <w:szCs w:val="22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78CE1">
            <w:pPr>
              <w:spacing w:line="440" w:lineRule="exact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514E4">
            <w:pPr>
              <w:spacing w:line="440" w:lineRule="exact"/>
              <w:rPr>
                <w:rFonts w:ascii="Calibri" w:hAnsi="Calibri"/>
                <w:szCs w:val="22"/>
              </w:rPr>
            </w:pPr>
          </w:p>
        </w:tc>
      </w:tr>
      <w:tr w14:paraId="316A6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D7726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主任委员签名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E169A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C8CCD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31744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</w:tbl>
    <w:p w14:paraId="479B7B72"/>
    <w:sectPr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B047A1"/>
    <w:multiLevelType w:val="multilevel"/>
    <w:tmpl w:val="69B047A1"/>
    <w:lvl w:ilvl="0" w:tentative="0">
      <w:start w:val="1"/>
      <w:numFmt w:val="bullet"/>
      <w:lvlText w:val="-"/>
      <w:lvlJc w:val="left"/>
      <w:pPr>
        <w:ind w:left="555" w:hanging="360"/>
      </w:pPr>
      <w:rPr>
        <w:rFonts w:hint="default" w:ascii="Calibri" w:hAnsi="Calibri" w:eastAsia="宋体" w:cs="Calibri"/>
      </w:rPr>
    </w:lvl>
    <w:lvl w:ilvl="1" w:tentative="0">
      <w:start w:val="1"/>
      <w:numFmt w:val="bullet"/>
      <w:lvlText w:val=""/>
      <w:lvlJc w:val="left"/>
      <w:pPr>
        <w:ind w:left="103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5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7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9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1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3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5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75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91C61"/>
    <w:rsid w:val="190F0394"/>
    <w:rsid w:val="216F3E00"/>
    <w:rsid w:val="3EE01768"/>
    <w:rsid w:val="4C71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5"/>
    <w:qFormat/>
    <w:uiPriority w:val="0"/>
    <w:pPr>
      <w:spacing w:before="214"/>
      <w:ind w:left="660"/>
      <w:outlineLvl w:val="0"/>
    </w:pPr>
    <w:rPr>
      <w:rFonts w:ascii="仿宋" w:hAnsi="仿宋" w:eastAsia="黑体" w:cs="仿宋"/>
      <w:sz w:val="32"/>
      <w:szCs w:val="32"/>
      <w:lang w:val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仿宋" w:hAnsi="仿宋" w:eastAsia="黑体" w:cs="仿宋"/>
      <w:kern w:val="0"/>
      <w:sz w:val="32"/>
      <w:szCs w:val="32"/>
      <w:lang w:val="zh-CN" w:bidi="zh-CN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361</Characters>
  <Lines>0</Lines>
  <Paragraphs>0</Paragraphs>
  <TotalTime>0</TotalTime>
  <ScaleCrop>false</ScaleCrop>
  <LinksUpToDate>false</LinksUpToDate>
  <CharactersWithSpaces>441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2023-10-16T00:54:00Z</dcterms:created>
  <dc:creator>Lenovo</dc:creator>
  <cp:lastModifiedBy>Lenovo</cp:lastModifiedBy>
  <dcterms:modified xsi:type="dcterms:W3CDTF">2025-08-14T08:25:26Z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7DF9BF03A2F54256866C286BF36F2E64_12</vt:lpwstr>
  </property>
  <property fmtid="{D5CDD505-2E9C-101B-9397-08002B2CF9AE}" pid="4" name="KSOTemplateDocerSaveRecord">
    <vt:lpwstr>eyJoZGlkIjoiMTgwM2YxZWY0YzY4NjIyMGRjMzYxMjQyMzdiYWQ3NzQifQ==</vt:lpwstr>
  </property>
</Properties>
</file>